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F33076">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p>
    <w:p w14:paraId="4C9F4AC7">
      <w:pPr>
        <w:pStyle w:val="4"/>
        <w:widowControl/>
        <w:shd w:val="clear" w:color="auto" w:fill="FFFFFF"/>
        <w:spacing w:beforeAutospacing="0" w:afterAutospacing="0" w:line="520" w:lineRule="exact"/>
        <w:jc w:val="center"/>
        <w:rPr>
          <w:rFonts w:ascii="方正小标宋简体" w:hAnsi="方正小标宋简体" w:eastAsia="方正小标宋简体" w:cs="方正小标宋简体"/>
          <w:sz w:val="44"/>
          <w:szCs w:val="44"/>
          <w:shd w:val="clear" w:color="auto" w:fill="FFFFFF"/>
        </w:rPr>
      </w:pPr>
      <w:r>
        <w:rPr>
          <w:rFonts w:hint="default" w:ascii="Times New Roman" w:hAnsi="Times New Roman" w:eastAsia="方正小标宋简体" w:cs="Times New Roman"/>
          <w:b w:val="0"/>
          <w:bCs w:val="0"/>
          <w:color w:val="auto"/>
          <w:sz w:val="44"/>
          <w:szCs w:val="44"/>
          <w:lang w:val="en-US" w:eastAsia="zh-CN"/>
        </w:rPr>
        <w:t>《</w:t>
      </w:r>
      <w:r>
        <w:rPr>
          <w:rFonts w:hint="eastAsia" w:ascii="方正小标宋简体" w:hAnsi="方正小标宋简体" w:eastAsia="方正小标宋简体" w:cs="方正小标宋简体"/>
          <w:sz w:val="44"/>
          <w:szCs w:val="44"/>
          <w:shd w:val="clear" w:color="auto" w:fill="FFFFFF"/>
        </w:rPr>
        <w:t>开平市翠山湖产业转移工业园及水口镇公共区域停车泊位与新能源汽车充电基础设施有偿使用项目实施方案</w:t>
      </w:r>
      <w:r>
        <w:rPr>
          <w:rFonts w:hint="eastAsia" w:ascii="方正小标宋简体" w:hAnsi="方正小标宋简体" w:eastAsia="方正小标宋简体" w:cs="方正小标宋简体"/>
          <w:sz w:val="44"/>
          <w:szCs w:val="44"/>
          <w:shd w:val="clear" w:color="auto" w:fill="FFFFFF"/>
          <w:lang w:eastAsia="zh-CN"/>
        </w:rPr>
        <w:t>（</w:t>
      </w:r>
      <w:r>
        <w:rPr>
          <w:rFonts w:hint="eastAsia" w:ascii="方正小标宋简体" w:hAnsi="方正小标宋简体" w:eastAsia="方正小标宋简体" w:cs="方正小标宋简体"/>
          <w:sz w:val="44"/>
          <w:szCs w:val="44"/>
          <w:shd w:val="clear" w:color="auto" w:fill="FFFFFF"/>
          <w:lang w:val="en-US" w:eastAsia="zh-CN"/>
        </w:rPr>
        <w:t>征求意见稿</w:t>
      </w:r>
      <w:r>
        <w:rPr>
          <w:rFonts w:hint="eastAsia" w:ascii="方正小标宋简体" w:hAnsi="方正小标宋简体" w:eastAsia="方正小标宋简体" w:cs="方正小标宋简体"/>
          <w:sz w:val="44"/>
          <w:szCs w:val="44"/>
          <w:shd w:val="clear" w:color="auto" w:fill="FFFFFF"/>
          <w:lang w:eastAsia="zh-CN"/>
        </w:rPr>
        <w:t>）</w:t>
      </w:r>
      <w:r>
        <w:rPr>
          <w:rFonts w:hint="eastAsia" w:ascii="方正小标宋简体" w:hAnsi="方正小标宋简体" w:eastAsia="方正小标宋简体" w:cs="方正小标宋简体"/>
          <w:sz w:val="44"/>
          <w:szCs w:val="44"/>
          <w:shd w:val="clear" w:color="auto" w:fill="FFFFFF"/>
        </w:rPr>
        <w:t>》</w:t>
      </w:r>
    </w:p>
    <w:p w14:paraId="129188A0">
      <w:pPr>
        <w:pStyle w:val="4"/>
        <w:widowControl/>
        <w:shd w:val="clear" w:color="auto" w:fill="FFFFFF"/>
        <w:spacing w:beforeAutospacing="0" w:afterAutospacing="0" w:line="520" w:lineRule="exact"/>
        <w:jc w:val="center"/>
        <w:rPr>
          <w:rFonts w:ascii="方正小标宋简体" w:hAnsi="方正小标宋简体" w:eastAsia="方正小标宋简体" w:cs="方正小标宋简体"/>
          <w:sz w:val="44"/>
          <w:szCs w:val="44"/>
          <w:shd w:val="clear" w:color="auto" w:fill="FFFFFF"/>
        </w:rPr>
      </w:pPr>
      <w:r>
        <w:rPr>
          <w:rFonts w:hint="eastAsia" w:ascii="方正小标宋简体" w:hAnsi="方正小标宋简体" w:eastAsia="方正小标宋简体" w:cs="方正小标宋简体"/>
          <w:sz w:val="44"/>
          <w:szCs w:val="44"/>
          <w:shd w:val="clear" w:color="auto" w:fill="FFFFFF"/>
        </w:rPr>
        <w:t>起草说明</w:t>
      </w:r>
    </w:p>
    <w:p w14:paraId="41D8A404">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p>
    <w:p w14:paraId="0AAB9A3E">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ascii="黑体" w:hAnsi="宋体" w:eastAsia="黑体" w:cs="黑体"/>
          <w:sz w:val="32"/>
          <w:szCs w:val="32"/>
          <w:shd w:val="clear" w:color="auto" w:fill="FFFFFF"/>
        </w:rPr>
        <w:t>一、制定背景和依据</w:t>
      </w:r>
    </w:p>
    <w:p w14:paraId="337C3DB0">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仿宋" w:hAnsi="仿宋" w:eastAsia="仿宋" w:cs="仿宋"/>
          <w:sz w:val="32"/>
          <w:szCs w:val="32"/>
          <w:shd w:val="clear" w:color="auto" w:fill="FFFFFF"/>
        </w:rPr>
        <w:t>为进一步提升开平市翠山湖产业转移工业园及水口镇城市管理与公共服务水平，有效缓解停车难问题，优化道路交通环境，根据《中华人民共和国城乡规划法》《城市道路管理条例》及国家关于推动智慧城市建设的相关政策精神，结合开平市实际情况，特制定《开平市翠山湖产业转移工业园及水口镇公共区域停车泊位与新能源汽车充电基础设施有偿使用项目实施方案》</w:t>
      </w:r>
      <w:bookmarkStart w:id="0" w:name="_GoBack"/>
      <w:bookmarkEnd w:id="0"/>
      <w:r>
        <w:rPr>
          <w:rFonts w:hint="eastAsia" w:ascii="仿宋" w:hAnsi="仿宋" w:eastAsia="仿宋" w:cs="仿宋"/>
          <w:sz w:val="32"/>
          <w:szCs w:val="32"/>
          <w:shd w:val="clear" w:color="auto" w:fill="FFFFFF"/>
        </w:rPr>
        <w:t>。参照江门市、中山市、肇庆市、云浮市、惠州市等地的先进做法，本方案措施旨在通过创新机制、科技赋能、资源整合等手段，高效盘活和利用区域内公共停车位资源，加快构建智能化、便捷化、规范化的城市停车管理体系，为市民提供更加优质、高效的停车服务，同时促进城市交通秩序持续改善和经济社会发展进步。我市翠山湖园区及水口镇开展智慧停车计收费工作可行且必要</w:t>
      </w:r>
      <w:r>
        <w:rPr>
          <w:rFonts w:hint="eastAsia" w:ascii="仿宋" w:hAnsi="仿宋" w:eastAsia="仿宋" w:cs="仿宋"/>
          <w:sz w:val="32"/>
          <w:szCs w:val="32"/>
          <w:shd w:val="clear" w:color="auto" w:fill="FFFFFF"/>
          <w:lang w:eastAsia="zh-CN"/>
        </w:rPr>
        <w:t>，</w:t>
      </w:r>
      <w:r>
        <w:rPr>
          <w:rFonts w:hint="eastAsia" w:ascii="仿宋" w:hAnsi="仿宋" w:eastAsia="仿宋" w:cs="仿宋"/>
          <w:sz w:val="32"/>
          <w:szCs w:val="32"/>
          <w:shd w:val="clear" w:color="auto" w:fill="FFFFFF"/>
        </w:rPr>
        <w:t>并根据相关规定现向社会公众公开征求意见。</w:t>
      </w:r>
    </w:p>
    <w:p w14:paraId="654DFF4D">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ascii="楷体" w:hAnsi="楷体" w:eastAsia="楷体" w:cs="楷体"/>
          <w:sz w:val="32"/>
          <w:szCs w:val="32"/>
          <w:shd w:val="clear" w:color="auto" w:fill="FFFFFF"/>
        </w:rPr>
        <w:t>（一）决策背景</w:t>
      </w:r>
    </w:p>
    <w:p w14:paraId="33D90395">
      <w:pPr>
        <w:pStyle w:val="4"/>
        <w:widowControl/>
        <w:shd w:val="clear" w:color="auto" w:fill="FFFFFF"/>
        <w:spacing w:beforeAutospacing="0" w:afterAutospacing="0" w:line="600" w:lineRule="atLeast"/>
        <w:ind w:firstLine="643"/>
        <w:jc w:val="both"/>
        <w:rPr>
          <w:rFonts w:ascii="Times New Roman" w:hAnsi="Times New Roman"/>
          <w:sz w:val="32"/>
          <w:szCs w:val="32"/>
        </w:rPr>
      </w:pPr>
      <w:r>
        <w:rPr>
          <w:rFonts w:hint="eastAsia" w:ascii="仿宋" w:hAnsi="仿宋" w:eastAsia="仿宋" w:cs="仿宋"/>
          <w:b/>
          <w:bCs/>
          <w:sz w:val="32"/>
          <w:szCs w:val="32"/>
          <w:shd w:val="clear" w:color="auto" w:fill="FFFFFF"/>
        </w:rPr>
        <w:t>1.宏观背景</w:t>
      </w:r>
    </w:p>
    <w:p w14:paraId="083EF1D9">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仿宋" w:hAnsi="仿宋" w:eastAsia="仿宋" w:cs="仿宋"/>
          <w:sz w:val="32"/>
          <w:szCs w:val="32"/>
          <w:shd w:val="clear" w:color="auto" w:fill="FFFFFF"/>
        </w:rPr>
        <w:t>2019年9月中共中央国务院《交通强国建设纲要》：科学规划建设城市停车设施，加强充电、加氢、加气和公交站点等设施建设。全面提升城市交通基础设施智能化水平。</w:t>
      </w:r>
    </w:p>
    <w:p w14:paraId="57D527F1">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仿宋" w:hAnsi="仿宋" w:eastAsia="仿宋" w:cs="仿宋"/>
          <w:sz w:val="32"/>
          <w:szCs w:val="32"/>
          <w:shd w:val="clear" w:color="auto" w:fill="FFFFFF"/>
        </w:rPr>
        <w:t>2020年1月交通运输部《2020年交通运输更贴近民生实事》：在全国范围内选择具有条件的10个以上城市，开展ETC智慧停车城市试点，在机场、商场、火车站、居民小区等地的停车场推广应用ETC，提升智慧停车服务能力。</w:t>
      </w:r>
    </w:p>
    <w:p w14:paraId="4D55B980">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仿宋" w:hAnsi="仿宋" w:eastAsia="仿宋" w:cs="仿宋"/>
          <w:sz w:val="32"/>
          <w:szCs w:val="32"/>
          <w:shd w:val="clear" w:color="auto" w:fill="FFFFFF"/>
        </w:rPr>
        <w:t>2020年7月国家发展改革委《关于做好县城城镇化公共停车场和公路客运站补短板强弱项工作的通知》：立足满足出行停车需求，推进主要公共建筑配建停车场、综合客运枢纽配建停车场、路侧停车位设施升级改造、政府主导停车信息平台等建设；鼓励建设立体停车场、机械式停车库等，在具备条件的地区推进“P+R”停车场建设。居住社区配建停车场、棚改区停车场、各类商业设施配套停车场、旅游景区配套停车场、工业园区配套停车场等按照相关领域规划政策要求推进建设。</w:t>
      </w:r>
    </w:p>
    <w:p w14:paraId="4342E0FD">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仿宋" w:hAnsi="仿宋" w:eastAsia="仿宋" w:cs="仿宋"/>
          <w:sz w:val="32"/>
          <w:szCs w:val="32"/>
          <w:shd w:val="clear" w:color="auto" w:fill="FFFFFF"/>
        </w:rPr>
        <w:t>2021年5月国务院发布《关于推动城市停车设施发展的意见》：鼓励电子不停车快捷收费系统在停车设施应用。统筹推进路内停车和停车设施收费电子化建设，并按一定比例配建新能源小汽车、公交车等充电设施。</w:t>
      </w:r>
    </w:p>
    <w:p w14:paraId="747E0D6D">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仿宋" w:hAnsi="仿宋" w:eastAsia="仿宋" w:cs="仿宋"/>
          <w:sz w:val="32"/>
          <w:szCs w:val="32"/>
          <w:shd w:val="clear" w:color="auto" w:fill="FFFFFF"/>
        </w:rPr>
        <w:t>2021年5月，国务院办公厅下发《国务院办公厅转发国家发改委等部门关于推动城市停车设施发展意见的通知》：推广智能化停车服务。加快应用大数据、物联网、第五代移动通信（5G）、“互联网+”等技术新模式，开发移动终端智能化停车应用服务，实现信息查询、车位预约、电子支付等服务功能集成，推动停车资源共享和供需快速匹配。</w:t>
      </w:r>
    </w:p>
    <w:p w14:paraId="7842BC90">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仿宋" w:hAnsi="仿宋" w:eastAsia="仿宋" w:cs="仿宋"/>
          <w:sz w:val="32"/>
          <w:szCs w:val="32"/>
          <w:shd w:val="clear" w:color="auto" w:fill="FFFFFF"/>
        </w:rPr>
        <w:t>2022年1月，国务院《“十四五”数字经济发展规划》：加快既有住宅和社区设施数字化改造，鼓励新建小区同步规划建设智能系统，打造智能楼宇、智能停车场、智能充电桩、智能垃圾箱等公共设施。</w:t>
      </w:r>
    </w:p>
    <w:p w14:paraId="50CC9EE6">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仿宋" w:hAnsi="仿宋" w:eastAsia="仿宋" w:cs="仿宋"/>
          <w:sz w:val="32"/>
          <w:szCs w:val="32"/>
          <w:shd w:val="clear" w:color="auto" w:fill="FFFFFF"/>
        </w:rPr>
        <w:t>2022年1月，国务院《“十四五”现代综合交通运输体系发展规划》：稳妥发展自动驾驶和车路协同等出行服务，鼓励自动驾驶在港口、物流园区等限定区域测试，推动发展智能交通、智慧停车、智慧安监等。</w:t>
      </w:r>
    </w:p>
    <w:p w14:paraId="025E9C7E">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仿宋" w:hAnsi="仿宋" w:eastAsia="仿宋" w:cs="仿宋"/>
          <w:sz w:val="32"/>
          <w:szCs w:val="32"/>
          <w:shd w:val="clear" w:color="auto" w:fill="FFFFFF"/>
        </w:rPr>
        <w:t>2022年5月，中共中央办公厅、国务院办公厅下发《关于推进以县城为重要载体的城镇化建设的意见》：建设以配建停车场为主、路外公共停车场为辅、路内停车位为补充的停车系统。</w:t>
      </w:r>
    </w:p>
    <w:p w14:paraId="14124316">
      <w:pPr>
        <w:pStyle w:val="4"/>
        <w:widowControl/>
        <w:shd w:val="clear" w:color="auto" w:fill="FFFFFF"/>
        <w:spacing w:beforeAutospacing="0" w:afterAutospacing="0" w:line="600" w:lineRule="atLeast"/>
        <w:ind w:firstLine="643"/>
        <w:jc w:val="both"/>
        <w:rPr>
          <w:rFonts w:ascii="Times New Roman" w:hAnsi="Times New Roman"/>
          <w:sz w:val="32"/>
          <w:szCs w:val="32"/>
        </w:rPr>
      </w:pPr>
      <w:r>
        <w:rPr>
          <w:rFonts w:hint="eastAsia" w:ascii="仿宋" w:hAnsi="仿宋" w:eastAsia="仿宋" w:cs="仿宋"/>
          <w:b/>
          <w:bCs/>
          <w:sz w:val="32"/>
          <w:szCs w:val="32"/>
          <w:shd w:val="clear" w:color="auto" w:fill="FFFFFF"/>
        </w:rPr>
        <w:t>2.中观背景</w:t>
      </w:r>
    </w:p>
    <w:p w14:paraId="3E4A13E3">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仿宋" w:hAnsi="仿宋" w:eastAsia="仿宋" w:cs="仿宋"/>
          <w:sz w:val="32"/>
          <w:szCs w:val="32"/>
          <w:shd w:val="clear" w:color="auto" w:fill="FFFFFF"/>
        </w:rPr>
        <w:t>2020年7月，广东省人民政府办公厅《关于印发加强和改进全省城市停车管理工作指导意见的通知》：建立健全城市停车设施备案和停车基础信息数据采集机制，督促停车设施经营、管理单位全面采集并定期更新车位布局、泊位使用、收费标准等数据，依法对相关信息进行备案登记，及时向社会公开。</w:t>
      </w:r>
    </w:p>
    <w:p w14:paraId="323FEB3C">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仿宋" w:hAnsi="仿宋" w:eastAsia="仿宋" w:cs="仿宋"/>
          <w:sz w:val="32"/>
          <w:szCs w:val="32"/>
          <w:shd w:val="clear" w:color="auto" w:fill="FFFFFF"/>
        </w:rPr>
        <w:t>2021年4月，广东省人民政府《广东省国民经济和社会发展第十四个五年规划和2035年远景目标纲要》：推进城市公共设施与5G网络、物联网、传感技术融合建设，系统化部署城市数据采集智慧感知节点网络。推进智能交通灯、智能潮汐车道、智能停车引导、智慧立体停车等智慧治堵措施广泛应用。推进电动汽车充电基础设施网络建设。</w:t>
      </w:r>
    </w:p>
    <w:p w14:paraId="4EF175C6">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2021年11月，广东省交通运输厅《广东省数字交通“十四五”发展规划》：人工智能+智慧停车，利用高位视频技术实现区域停车资源管理和服务，通过手机地图、诱导屏等方式进行停车指引，提升车位利用率，降低寻找车位时间，为违法停车提供完整的取证数据链。开展基于移动互联网的服务区智慧停车和充电设施引导、预约等增值服务。</w:t>
      </w:r>
    </w:p>
    <w:p w14:paraId="05FC8FA0">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2021年12月，</w:t>
      </w:r>
      <w:r>
        <w:rPr>
          <w:rFonts w:ascii="仿宋" w:hAnsi="仿宋" w:eastAsia="仿宋" w:cs="仿宋"/>
          <w:sz w:val="32"/>
          <w:szCs w:val="32"/>
          <w:shd w:val="clear" w:color="auto" w:fill="FFFFFF"/>
        </w:rPr>
        <w:t>广东省人民政府</w:t>
      </w:r>
      <w:r>
        <w:rPr>
          <w:rFonts w:hint="eastAsia" w:ascii="仿宋" w:hAnsi="仿宋" w:eastAsia="仿宋" w:cs="仿宋"/>
          <w:sz w:val="32"/>
          <w:szCs w:val="32"/>
          <w:shd w:val="clear" w:color="auto" w:fill="FFFFFF"/>
        </w:rPr>
        <w:t>《广东省新型城镇化规划（2021—2035年）》：推进市政公用设施、公共服务设施、环境基础设施智能化改造和物联网应用，加快推进智慧社区建设，改善交通、公安、水电气热等终端系统，建设智能交通灯、智能潮汐车道、智能停车设施、智能电杆等感知终端。加快电动汽车充换电基础设施建设，建立有序充电、充放储一体化运营体系，打造智慧、便捷、安全的充换电网络体系。</w:t>
      </w:r>
    </w:p>
    <w:p w14:paraId="71EBB030">
      <w:pPr>
        <w:pStyle w:val="4"/>
        <w:widowControl/>
        <w:shd w:val="clear" w:color="auto" w:fill="FFFFFF"/>
        <w:spacing w:beforeAutospacing="0" w:afterAutospacing="0" w:line="600" w:lineRule="atLeast"/>
        <w:ind w:firstLine="643"/>
        <w:jc w:val="both"/>
        <w:rPr>
          <w:rFonts w:ascii="Times New Roman" w:hAnsi="Times New Roman"/>
          <w:sz w:val="32"/>
          <w:szCs w:val="32"/>
        </w:rPr>
      </w:pPr>
      <w:r>
        <w:rPr>
          <w:rFonts w:hint="eastAsia" w:ascii="仿宋" w:hAnsi="仿宋" w:eastAsia="仿宋" w:cs="仿宋"/>
          <w:b/>
          <w:bCs/>
          <w:sz w:val="32"/>
          <w:szCs w:val="32"/>
          <w:shd w:val="clear" w:color="auto" w:fill="FFFFFF"/>
        </w:rPr>
        <w:t>3.微观背景</w:t>
      </w:r>
    </w:p>
    <w:p w14:paraId="30EB904C">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仿宋" w:hAnsi="仿宋" w:eastAsia="仿宋" w:cs="仿宋"/>
          <w:sz w:val="32"/>
          <w:szCs w:val="32"/>
          <w:shd w:val="clear" w:color="auto" w:fill="FFFFFF"/>
        </w:rPr>
        <w:t>2021年5月，江门市人民政府《江门市国民经济和社会发展第十四个五年规划和2035年远景目标纲要》：探索建立多功能一体化交通运输综合管理平台，完善全域道路感知及信息采集网络，建设智慧城市停车工程，提升民众智慧出行体验。</w:t>
      </w:r>
    </w:p>
    <w:p w14:paraId="28584F8D">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仿宋" w:hAnsi="仿宋" w:eastAsia="仿宋" w:cs="仿宋"/>
          <w:sz w:val="32"/>
          <w:szCs w:val="32"/>
          <w:shd w:val="clear" w:color="auto" w:fill="FFFFFF"/>
        </w:rPr>
        <w:t>2022年8月，江门市人民政府《江门市新型城镇化规划（2021-2035年）》：建设城市智慧停车工程，加快建立城市停车泊位主题数据库。</w:t>
      </w:r>
    </w:p>
    <w:p w14:paraId="4342A8BA">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仿宋" w:hAnsi="仿宋" w:eastAsia="仿宋" w:cs="仿宋"/>
          <w:sz w:val="32"/>
          <w:szCs w:val="32"/>
          <w:shd w:val="clear" w:color="auto" w:fill="FFFFFF"/>
        </w:rPr>
        <w:t>2021年</w:t>
      </w:r>
      <w:r>
        <w:rPr>
          <w:rFonts w:ascii="仿宋" w:hAnsi="仿宋" w:eastAsia="仿宋" w:cs="仿宋"/>
          <w:sz w:val="32"/>
          <w:szCs w:val="32"/>
          <w:shd w:val="clear" w:color="auto" w:fill="FFFFFF"/>
        </w:rPr>
        <w:t>7</w:t>
      </w:r>
      <w:r>
        <w:rPr>
          <w:rFonts w:hint="eastAsia" w:ascii="仿宋" w:hAnsi="仿宋" w:eastAsia="仿宋" w:cs="仿宋"/>
          <w:sz w:val="32"/>
          <w:szCs w:val="32"/>
          <w:shd w:val="clear" w:color="auto" w:fill="FFFFFF"/>
        </w:rPr>
        <w:t>月，《开平市国民经济和社会发展第十四个五年规划和二○三五年远景目标纲要》：加强数字生活建设。加强数字社会、“数字政府”建设，推动交通、能源、水利、市政等传统基础设施数字化升级，提升公共服务、社会治理等数字化智能化水平，建设智慧城市。</w:t>
      </w:r>
    </w:p>
    <w:p w14:paraId="1925AAD9">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楷体" w:hAnsi="楷体" w:eastAsia="楷体" w:cs="楷体"/>
          <w:sz w:val="32"/>
          <w:szCs w:val="32"/>
          <w:shd w:val="clear" w:color="auto" w:fill="FFFFFF"/>
        </w:rPr>
        <w:t>（二）起草依据</w:t>
      </w:r>
    </w:p>
    <w:p w14:paraId="6359F6E2">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仿宋" w:hAnsi="仿宋" w:eastAsia="仿宋" w:cs="仿宋"/>
          <w:sz w:val="32"/>
          <w:szCs w:val="32"/>
          <w:shd w:val="clear" w:color="auto" w:fill="FFFFFF"/>
        </w:rPr>
        <w:t>根据《中华人民共和国道路交通安全法》《城市道路管理条例》《广东省经营服务性收费管理规定》等有关法律法规，《关于完善机动车停放服务收费政策的指导意见》（粤发改规〔2022〕10号）《江门市机动车停放服务收费管理实施细则》（江发改价格〔2023〕14号）有关规定，按照《中共中央办公厅 国务院办公厅印发关于创新政府配置资源方式的指导意见》文件精神，参照《市政公共资源有偿使用收入管理办法》（财税〔2016〕116号）《江门市公共资源有偿使用管理办法（试行）》（江府办〔2024〕6号），结合我市工作实际，制定该《实施方案》。</w:t>
      </w:r>
    </w:p>
    <w:p w14:paraId="771B28C1">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黑体" w:hAnsi="宋体" w:eastAsia="黑体" w:cs="黑体"/>
          <w:sz w:val="32"/>
          <w:szCs w:val="32"/>
          <w:shd w:val="clear" w:color="auto" w:fill="FFFFFF"/>
        </w:rPr>
        <w:t>二、制定意义和总体考虑</w:t>
      </w:r>
    </w:p>
    <w:p w14:paraId="48FEF7A0">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全面贯彻党的二十大精神，以习近平新时代中国特色社会主义思想为指导，充分发挥价格杠杆作用促进停车设施建设，提高停车资源配置效率，规范机动车停放服务收费行为，使城市停车泊位资源更加公平、高效地利用。提高城市静态交通运行效率和城市治理服务水平，改善市容市貌，满足市民日益增长的停车与新能源汽车充电需求，打造智慧城市管理新模式。</w:t>
      </w:r>
    </w:p>
    <w:p w14:paraId="49FEB04E">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《实施方案》是统筹开平市翠山湖产业转移工业园及水口镇城市公共区域政府管理车位和拟建车位资源的重要举措，是以市场化、法治化方式推动城市停车设施建设、盘活存量资产扩大有效投资的需要。</w:t>
      </w:r>
    </w:p>
    <w:p w14:paraId="61B6C2ED">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黑体" w:hAnsi="宋体" w:eastAsia="黑体" w:cs="黑体"/>
          <w:sz w:val="32"/>
          <w:szCs w:val="32"/>
          <w:shd w:val="clear" w:color="auto" w:fill="FFFFFF"/>
        </w:rPr>
        <w:t>三、研判和起草过程</w:t>
      </w:r>
    </w:p>
    <w:p w14:paraId="6BA05206">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仿宋" w:hAnsi="仿宋" w:eastAsia="仿宋" w:cs="仿宋"/>
          <w:sz w:val="32"/>
          <w:szCs w:val="32"/>
          <w:shd w:val="clear" w:color="auto" w:fill="FFFFFF"/>
        </w:rPr>
        <w:t>开平市翠山湖产业转移工业园管理委员会认真学习《中华人民共和国道路交通安全法》《城市道路管理条例》《广东省经营服务性收费管理规定》等有关法律法规，以及《广东省发展和改革委员会 广东省住房和城乡建设厅 广东省交通运输厅 广东省市场监督管理局关于完善机动车停放服务收费政策的指导意见》（粤发改规〔2022〕10号）规定，参照《市政公共资源有偿使用收入管理办法》（财税〔2016〕116号）《江门市公共资源有偿使用管理办法（试行）》（江府办〔2024〕6号），同时在调研和借鉴了江门、中山、肇庆、云浮、惠州等地区做法和经验的基础上，起草了《实施方案》初稿，并严格按照征</w:t>
      </w:r>
      <w:r>
        <w:rPr>
          <w:rFonts w:ascii="仿宋" w:hAnsi="仿宋" w:eastAsia="仿宋" w:cs="仿宋"/>
          <w:sz w:val="32"/>
          <w:szCs w:val="32"/>
          <w:shd w:val="clear" w:color="auto" w:fill="FFFFFF"/>
        </w:rPr>
        <w:t>询</w:t>
      </w:r>
      <w:r>
        <w:rPr>
          <w:rFonts w:hint="eastAsia" w:ascii="仿宋" w:hAnsi="仿宋" w:eastAsia="仿宋" w:cs="仿宋"/>
          <w:sz w:val="32"/>
          <w:szCs w:val="32"/>
          <w:shd w:val="clear" w:color="auto" w:fill="FFFFFF"/>
        </w:rPr>
        <w:t>意见、专家评审等相关程序，反复修改完善，最终形成此稿。</w:t>
      </w:r>
    </w:p>
    <w:p w14:paraId="28C16E58">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黑体" w:hAnsi="宋体" w:eastAsia="黑体" w:cs="黑体"/>
          <w:sz w:val="32"/>
          <w:szCs w:val="32"/>
          <w:shd w:val="clear" w:color="auto" w:fill="FFFFFF"/>
        </w:rPr>
        <w:t>四、建设目标</w:t>
      </w:r>
    </w:p>
    <w:p w14:paraId="78CCD0D2">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本项目预计建设运营共8097个停车泊位，增加路侧停车电子收费前端；其中翠山湖园区路侧停车3394个停车泊位，含一类路段车位651个，二类路段车位1351个，三类路段车位1392个；并划分350个车位进行充电桩布设，共建设快充充电桩数量169个，慢充充电桩12个，以及变配电等配套设施；水口镇路侧停车4703个，含一类路段车位838个，二类路段车位2459个，三类路段车位1406个；并划分484个车位进行充电桩布设，共建设快充充电桩数量234个，慢充充电桩16个，以及变配电等配套设施。建设周期具体分为三个阶段：</w:t>
      </w:r>
    </w:p>
    <w:p w14:paraId="5F3B8290">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第一期为已画线车位（存量车位）及管理平台（软件相关内容），计划于2024年年底启动建设，在2025年第一季度形成计费能力和试运行能力；第二期为施工条件良好的路段车位，计划于2025年二季度启动建设；第三期为逐步具备施工条件车位，计划于2025年四季度启动建设。</w:t>
      </w:r>
    </w:p>
    <w:p w14:paraId="2237335C">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黑体" w:hAnsi="宋体" w:eastAsia="黑体" w:cs="黑体"/>
          <w:sz w:val="32"/>
          <w:szCs w:val="32"/>
          <w:shd w:val="clear" w:color="auto" w:fill="FFFFFF"/>
        </w:rPr>
        <w:t>五、主要内容</w:t>
      </w:r>
    </w:p>
    <w:p w14:paraId="17FE2851">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实施方案主要分为项目概况、采用有偿使用模式的必要性和可行性分析、风险分配、项目运作方式、项目交易结构、合同体系、监管架构、有偿使用者选择、项目实施、财务分析、结论与建议等十个章节。</w:t>
      </w:r>
    </w:p>
    <w:p w14:paraId="781AABA9">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b/>
          <w:bCs/>
          <w:sz w:val="32"/>
          <w:szCs w:val="32"/>
          <w:shd w:val="clear" w:color="auto" w:fill="FFFFFF"/>
        </w:rPr>
        <w:t>第一章</w:t>
      </w:r>
      <w:r>
        <w:rPr>
          <w:rFonts w:hint="eastAsia" w:ascii="仿宋" w:hAnsi="仿宋" w:eastAsia="仿宋" w:cs="仿宋"/>
          <w:sz w:val="32"/>
          <w:szCs w:val="32"/>
          <w:shd w:val="clear" w:color="auto" w:fill="FFFFFF"/>
        </w:rPr>
        <w:t>项目概况，明确了本项目名称为开平市翠山湖园区及水口镇公共区域停车泊位与新能源汽车充电基础设施有偿使用项目，纳入有偿使用的范围包括翠山湖园区及水口镇城市公共区域政府在管车位和拟建车位8097个及834个车位布设新能源汽车充电基础设施（充电车位范围内允许建设403个快充充电桩和28个慢充充电桩）。路边停车位由属地或公安部门按照不影响交通安全、道路通行和停车平衡的原则划定，总体上合理可行。本次竞拍车位数量固定为8097个，如在有偿使用范围提供的车位场地及可建数量少于约定数量，按“原规格（同区域或同价值）、缺多少、补多少”原则补足停车位，确保停车位数量的稳定性。项目有偿使用的年限定为22年。</w:t>
      </w:r>
    </w:p>
    <w:p w14:paraId="6D4B939B">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b/>
          <w:bCs/>
          <w:sz w:val="32"/>
          <w:szCs w:val="32"/>
          <w:shd w:val="clear" w:color="auto" w:fill="FFFFFF"/>
        </w:rPr>
        <w:t>第二章</w:t>
      </w:r>
      <w:r>
        <w:rPr>
          <w:rFonts w:hint="eastAsia" w:ascii="仿宋" w:hAnsi="仿宋" w:eastAsia="仿宋" w:cs="仿宋"/>
          <w:sz w:val="32"/>
          <w:szCs w:val="32"/>
          <w:shd w:val="clear" w:color="auto" w:fill="FFFFFF"/>
        </w:rPr>
        <w:t>主要对本项目采用有偿使用模式的必要性和可行性进行分析，重点描述了项目实施的依据、成熟度等。</w:t>
      </w:r>
    </w:p>
    <w:p w14:paraId="53E9D7FF">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b/>
          <w:bCs/>
          <w:sz w:val="32"/>
          <w:szCs w:val="32"/>
          <w:shd w:val="clear" w:color="auto" w:fill="FFFFFF"/>
        </w:rPr>
        <w:t>第三章</w:t>
      </w:r>
      <w:r>
        <w:rPr>
          <w:rFonts w:hint="eastAsia" w:ascii="仿宋" w:hAnsi="仿宋" w:eastAsia="仿宋" w:cs="仿宋"/>
          <w:sz w:val="32"/>
          <w:szCs w:val="32"/>
          <w:shd w:val="clear" w:color="auto" w:fill="FFFFFF"/>
        </w:rPr>
        <w:t>风险分配，列举了信用风险、法律及合约风险、金融风险、设计风险、建设风险、运营风险、不可抗力风险等主要的项目风险，并进行风险分配分析，明确风险分配原则、机制、基本框架和风险防范及控制原则、措施。</w:t>
      </w:r>
    </w:p>
    <w:p w14:paraId="0A74E067">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b/>
          <w:bCs/>
          <w:sz w:val="32"/>
          <w:szCs w:val="32"/>
          <w:shd w:val="clear" w:color="auto" w:fill="FFFFFF"/>
        </w:rPr>
        <w:t>第四章</w:t>
      </w:r>
      <w:r>
        <w:rPr>
          <w:rFonts w:hint="eastAsia" w:ascii="仿宋" w:hAnsi="仿宋" w:eastAsia="仿宋" w:cs="仿宋"/>
          <w:sz w:val="32"/>
          <w:szCs w:val="32"/>
          <w:shd w:val="clear" w:color="auto" w:fill="FFFFFF"/>
        </w:rPr>
        <w:t>明确项目采用有偿使用权出让的运作方式，项目实施机构通过协议约定，由通过公开竞争性方式确定的有偿使用者向政府指定单位支付有偿使用权费，项目有偿使用期满后，有偿使用者将项目无偿、完好地移交给实施机构或政府指定部门。</w:t>
      </w:r>
    </w:p>
    <w:p w14:paraId="048E5D6F">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b/>
          <w:bCs/>
          <w:sz w:val="32"/>
          <w:szCs w:val="32"/>
          <w:shd w:val="clear" w:color="auto" w:fill="FFFFFF"/>
        </w:rPr>
        <w:t>第五章</w:t>
      </w:r>
      <w:r>
        <w:rPr>
          <w:rFonts w:hint="eastAsia" w:ascii="仿宋" w:hAnsi="仿宋" w:eastAsia="仿宋" w:cs="仿宋"/>
          <w:sz w:val="32"/>
          <w:szCs w:val="32"/>
          <w:shd w:val="clear" w:color="auto" w:fill="FFFFFF"/>
        </w:rPr>
        <w:t>项目交易结构，明确了项目资产形成与移交方式、项目回报机制、价格调整机制、终止退出及补偿机制等内容。</w:t>
      </w:r>
    </w:p>
    <w:p w14:paraId="665781E6">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b/>
          <w:bCs/>
          <w:sz w:val="32"/>
          <w:szCs w:val="32"/>
          <w:shd w:val="clear" w:color="auto" w:fill="FFFFFF"/>
        </w:rPr>
        <w:t>第六章</w:t>
      </w:r>
      <w:r>
        <w:rPr>
          <w:rFonts w:hint="eastAsia" w:ascii="仿宋" w:hAnsi="仿宋" w:eastAsia="仿宋" w:cs="仿宋"/>
          <w:sz w:val="32"/>
          <w:szCs w:val="32"/>
          <w:shd w:val="clear" w:color="auto" w:fill="FFFFFF"/>
        </w:rPr>
        <w:t>合同体系，主要是明确有偿使用协议的主要框架，包括有偿使用协议基本要点、各方的一般义务、项目有偿使用期限、项目用地、项目建设、项目的运营和维护、环境保护责任、应急处理、付费机制、政府方的监督和介入，违约、提前终止、退出及终止后处理机制，有偿使用期限届满后资产处置方式、争议的解决等1</w:t>
      </w:r>
      <w:r>
        <w:rPr>
          <w:rFonts w:ascii="仿宋" w:hAnsi="仿宋" w:eastAsia="仿宋" w:cs="仿宋"/>
          <w:sz w:val="32"/>
          <w:szCs w:val="32"/>
          <w:shd w:val="clear" w:color="auto" w:fill="FFFFFF"/>
        </w:rPr>
        <w:t>3</w:t>
      </w:r>
      <w:r>
        <w:rPr>
          <w:rFonts w:hint="eastAsia" w:ascii="仿宋" w:hAnsi="仿宋" w:eastAsia="仿宋" w:cs="仿宋"/>
          <w:sz w:val="32"/>
          <w:szCs w:val="32"/>
          <w:shd w:val="clear" w:color="auto" w:fill="FFFFFF"/>
        </w:rPr>
        <w:t>项内容。</w:t>
      </w:r>
    </w:p>
    <w:p w14:paraId="3CAD4E0F">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b/>
          <w:bCs/>
          <w:sz w:val="32"/>
          <w:szCs w:val="32"/>
          <w:shd w:val="clear" w:color="auto" w:fill="FFFFFF"/>
        </w:rPr>
        <w:t>第七章</w:t>
      </w:r>
      <w:r>
        <w:rPr>
          <w:rFonts w:hint="eastAsia" w:ascii="仿宋" w:hAnsi="仿宋" w:eastAsia="仿宋" w:cs="仿宋"/>
          <w:sz w:val="32"/>
          <w:szCs w:val="32"/>
          <w:shd w:val="clear" w:color="auto" w:fill="FFFFFF"/>
        </w:rPr>
        <w:t>监督架构，明确监管体系、监管方式，其中监管方式包括：履约管理、行政监管、公众监督。</w:t>
      </w:r>
    </w:p>
    <w:p w14:paraId="460EDAF4">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b/>
          <w:bCs/>
          <w:sz w:val="32"/>
          <w:szCs w:val="32"/>
          <w:shd w:val="clear" w:color="auto" w:fill="FFFFFF"/>
        </w:rPr>
        <w:t>第八章</w:t>
      </w:r>
      <w:r>
        <w:rPr>
          <w:rFonts w:hint="eastAsia" w:ascii="仿宋" w:hAnsi="仿宋" w:eastAsia="仿宋" w:cs="仿宋"/>
          <w:sz w:val="32"/>
          <w:szCs w:val="32"/>
          <w:shd w:val="clear" w:color="auto" w:fill="FFFFFF"/>
        </w:rPr>
        <w:t>有偿使用者选择，对常见有偿使用者选择方式进行比较，分析项目特点及各种选择方式的适用范围。</w:t>
      </w:r>
    </w:p>
    <w:p w14:paraId="61EC11CB">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b/>
          <w:bCs/>
          <w:sz w:val="32"/>
          <w:szCs w:val="32"/>
          <w:shd w:val="clear" w:color="auto" w:fill="FFFFFF"/>
        </w:rPr>
        <w:t>第九章</w:t>
      </w:r>
      <w:r>
        <w:rPr>
          <w:rFonts w:hint="eastAsia" w:ascii="仿宋" w:hAnsi="仿宋" w:eastAsia="仿宋" w:cs="仿宋"/>
          <w:sz w:val="32"/>
          <w:szCs w:val="32"/>
          <w:shd w:val="clear" w:color="auto" w:fill="FFFFFF"/>
        </w:rPr>
        <w:t>项目实施财务分析，对项目营业收入、成本费用等进行估算。</w:t>
      </w:r>
    </w:p>
    <w:p w14:paraId="60A53536">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b/>
          <w:bCs/>
          <w:sz w:val="32"/>
          <w:szCs w:val="32"/>
          <w:shd w:val="clear" w:color="auto" w:fill="FFFFFF"/>
        </w:rPr>
        <w:t>第十章</w:t>
      </w:r>
      <w:r>
        <w:rPr>
          <w:rFonts w:hint="eastAsia" w:ascii="仿宋" w:hAnsi="仿宋" w:eastAsia="仿宋" w:cs="仿宋"/>
          <w:sz w:val="32"/>
          <w:szCs w:val="32"/>
          <w:shd w:val="clear" w:color="auto" w:fill="FFFFFF"/>
        </w:rPr>
        <w:t>结论，再次明确本项目名称、拟采用有偿使用模式、有偿使用期限、项目规模及内容、项目建设内容、项目有偿使用权价格、项目总投资等内容。</w:t>
      </w:r>
    </w:p>
    <w:p w14:paraId="45301A54">
      <w:pPr>
        <w:pStyle w:val="4"/>
        <w:widowControl/>
        <w:shd w:val="clear" w:color="auto" w:fill="FFFFFF"/>
        <w:spacing w:beforeAutospacing="0" w:afterAutospacing="0" w:line="600" w:lineRule="atLeast"/>
        <w:ind w:firstLine="640"/>
        <w:jc w:val="both"/>
        <w:rPr>
          <w:rFonts w:ascii="黑体" w:hAnsi="宋体" w:eastAsia="黑体" w:cs="黑体"/>
          <w:sz w:val="32"/>
          <w:szCs w:val="32"/>
          <w:shd w:val="clear" w:color="auto" w:fill="FFFFFF"/>
        </w:rPr>
      </w:pPr>
      <w:r>
        <w:rPr>
          <w:rFonts w:hint="eastAsia" w:ascii="黑体" w:hAnsi="宋体" w:eastAsia="黑体" w:cs="黑体"/>
          <w:sz w:val="32"/>
          <w:szCs w:val="32"/>
          <w:shd w:val="clear" w:color="auto" w:fill="FFFFFF"/>
        </w:rPr>
        <w:t>六</w:t>
      </w:r>
      <w:r>
        <w:rPr>
          <w:rFonts w:ascii="黑体" w:hAnsi="宋体" w:eastAsia="黑体" w:cs="黑体"/>
          <w:sz w:val="32"/>
          <w:szCs w:val="32"/>
          <w:shd w:val="clear" w:color="auto" w:fill="FFFFFF"/>
        </w:rPr>
        <w:t>、</w:t>
      </w:r>
      <w:r>
        <w:rPr>
          <w:rFonts w:hint="eastAsia" w:ascii="黑体" w:hAnsi="宋体" w:eastAsia="黑体" w:cs="黑体"/>
          <w:sz w:val="32"/>
          <w:szCs w:val="32"/>
          <w:shd w:val="clear" w:color="auto" w:fill="FFFFFF"/>
        </w:rPr>
        <w:t>实施要点</w:t>
      </w:r>
    </w:p>
    <w:p w14:paraId="59BB4DB1">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(一)实施范围。开平市翠山湖产业转移工业园及水口镇公共区域指定范围的停车泊位与新能源汽车充电基础设施</w:t>
      </w:r>
    </w:p>
    <w:p w14:paraId="7C676FEA">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(二)实施机构。开平市翠山湖产业转移工业园管理委员会</w:t>
      </w:r>
    </w:p>
    <w:p w14:paraId="1909B8E5">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(三)运作模式。有偿使用权出让</w:t>
      </w:r>
    </w:p>
    <w:p w14:paraId="0812665F">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(四) 有偿使用者选择方式。公开竞价</w:t>
      </w:r>
    </w:p>
    <w:p w14:paraId="794E1981">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(五)合作期限。22年</w:t>
      </w:r>
    </w:p>
    <w:p w14:paraId="4EAA8AF6">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六)实施方式。实施机构对翠山湖园区及水口镇区域内经相关部门规划、认可的市政道路路内停车泊位及充电基础设施建设场地，依法依规采取公开竞价方式选择有偿使用者。实施机构通过有偿使用协议约定获得有偿使用权的单位可在一定期限内投资改建和运营上述停车泊位与充电基础设施，并享有获取收益的权利。有偿使用者向政府指定单位支付有偿使用权价款，有偿使用期满后将项目无偿、完好一并移交政府或政府指定部门。</w:t>
      </w:r>
    </w:p>
    <w:p w14:paraId="578563D0">
      <w:pPr>
        <w:pStyle w:val="4"/>
        <w:widowControl/>
        <w:shd w:val="clear" w:color="auto" w:fill="FFFFFF"/>
        <w:spacing w:beforeAutospacing="0" w:afterAutospacing="0" w:line="600" w:lineRule="atLeast"/>
        <w:ind w:firstLine="640"/>
        <w:jc w:val="both"/>
        <w:rPr>
          <w:rFonts w:ascii="仿宋" w:hAnsi="仿宋" w:eastAsia="仿宋" w:cs="仿宋"/>
          <w:sz w:val="32"/>
          <w:szCs w:val="32"/>
          <w:shd w:val="clear" w:color="auto" w:fill="FFFFFF"/>
        </w:rPr>
      </w:pPr>
      <w:r>
        <w:rPr>
          <w:rFonts w:hint="eastAsia" w:ascii="仿宋" w:hAnsi="仿宋" w:eastAsia="仿宋" w:cs="仿宋"/>
          <w:sz w:val="32"/>
          <w:szCs w:val="32"/>
          <w:shd w:val="clear" w:color="auto" w:fill="FFFFFF"/>
        </w:rPr>
        <w:t>(七)收费标准。机动车停放服务收费参照《关于开平市城区路边收费标准的复函》（开发改函〔2022〕79号），充电桩服务按照市场化调节价管理。</w:t>
      </w:r>
    </w:p>
    <w:p w14:paraId="320BD946">
      <w:pPr>
        <w:pStyle w:val="4"/>
        <w:widowControl/>
        <w:shd w:val="clear" w:color="auto" w:fill="FFFFFF"/>
        <w:spacing w:beforeAutospacing="0" w:afterAutospacing="0" w:line="600" w:lineRule="atLeast"/>
        <w:ind w:firstLine="640"/>
        <w:jc w:val="both"/>
        <w:rPr>
          <w:rFonts w:ascii="Times New Roman" w:hAnsi="Times New Roman"/>
          <w:sz w:val="32"/>
          <w:szCs w:val="32"/>
        </w:rPr>
      </w:pPr>
      <w:r>
        <w:rPr>
          <w:rFonts w:hint="eastAsia" w:ascii="黑体" w:hAnsi="宋体" w:eastAsia="黑体" w:cs="黑体"/>
          <w:sz w:val="32"/>
          <w:szCs w:val="32"/>
          <w:shd w:val="clear" w:color="auto" w:fill="FFFFFF"/>
        </w:rPr>
        <w:t>七、保障措施</w:t>
      </w:r>
    </w:p>
    <w:p w14:paraId="7EC71C05">
      <w:pPr>
        <w:pStyle w:val="4"/>
        <w:widowControl/>
        <w:shd w:val="clear" w:color="auto" w:fill="FFFFFF"/>
        <w:spacing w:beforeAutospacing="0" w:afterAutospacing="0" w:line="600" w:lineRule="atLeast"/>
        <w:ind w:firstLine="640"/>
        <w:jc w:val="both"/>
        <w:textAlignment w:val="baseline"/>
        <w:rPr>
          <w:rFonts w:ascii="仿宋" w:hAnsi="仿宋" w:eastAsia="仿宋" w:cs="仿宋"/>
          <w:sz w:val="32"/>
          <w:szCs w:val="32"/>
          <w:shd w:val="clear" w:color="auto" w:fill="FFFFFF"/>
        </w:rPr>
      </w:pPr>
      <w:r>
        <w:rPr>
          <w:rFonts w:hint="eastAsia" w:ascii="楷体" w:hAnsi="楷体" w:eastAsia="楷体" w:cs="楷体"/>
          <w:sz w:val="32"/>
          <w:szCs w:val="32"/>
          <w:shd w:val="clear" w:color="auto" w:fill="FFFFFF"/>
        </w:rPr>
        <w:t>（一）建立联动机制。</w:t>
      </w:r>
      <w:r>
        <w:rPr>
          <w:rFonts w:hint="eastAsia" w:ascii="仿宋" w:hAnsi="仿宋" w:eastAsia="仿宋" w:cs="仿宋"/>
          <w:sz w:val="32"/>
          <w:szCs w:val="32"/>
          <w:shd w:val="clear" w:color="auto" w:fill="FFFFFF"/>
        </w:rPr>
        <w:t>在不改变现有行政管理组织体制和各部门行政管理职能的情况下，以信息化平台建设为支撑，优化管理运行机制，把解决停车管理中存在的管理层次多、行政力量各自为政、行政资源缺乏有效整合与利用等问题作为出发点，推动停车设施建设管理产业化，并加强对停车设施服务企业的监督管理，严厉打击违法违规行为。</w:t>
      </w:r>
    </w:p>
    <w:p w14:paraId="70D357F3">
      <w:pPr>
        <w:pStyle w:val="4"/>
        <w:widowControl/>
        <w:shd w:val="clear" w:color="auto" w:fill="FFFFFF"/>
        <w:spacing w:beforeAutospacing="0" w:afterAutospacing="0" w:line="600" w:lineRule="atLeast"/>
        <w:ind w:firstLine="640" w:firstLineChars="200"/>
        <w:jc w:val="both"/>
        <w:textAlignment w:val="baseline"/>
        <w:rPr>
          <w:rFonts w:ascii="仿宋" w:hAnsi="仿宋" w:eastAsia="仿宋" w:cs="仿宋"/>
          <w:sz w:val="32"/>
          <w:szCs w:val="32"/>
          <w:shd w:val="clear" w:color="auto" w:fill="FFFFFF"/>
        </w:rPr>
      </w:pPr>
      <w:r>
        <w:rPr>
          <w:rFonts w:hint="eastAsia" w:ascii="楷体" w:hAnsi="楷体" w:eastAsia="楷体" w:cs="楷体"/>
          <w:sz w:val="32"/>
          <w:szCs w:val="32"/>
          <w:shd w:val="clear" w:color="auto" w:fill="FFFFFF"/>
        </w:rPr>
        <w:t>（二）合规标价公示。</w:t>
      </w:r>
      <w:r>
        <w:rPr>
          <w:rFonts w:hint="eastAsia" w:ascii="仿宋" w:hAnsi="仿宋" w:eastAsia="仿宋" w:cs="仿宋"/>
          <w:sz w:val="32"/>
          <w:szCs w:val="32"/>
          <w:shd w:val="clear" w:color="auto" w:fill="FFFFFF"/>
        </w:rPr>
        <w:t>经营主体必须遵守《中华人民共和国价格法》《中华人民共和国反垄断法》以及国家有关规定，实行明码标价和收费公示，在经营场所显著位置公示价费，包括收费标准、收费范围、举报投诉电话等，接受社会监督。</w:t>
      </w:r>
    </w:p>
    <w:p w14:paraId="7E2D4B16">
      <w:pPr>
        <w:pStyle w:val="4"/>
        <w:widowControl/>
        <w:shd w:val="clear" w:color="auto" w:fill="FFFFFF"/>
        <w:spacing w:beforeAutospacing="0" w:afterAutospacing="0" w:line="600" w:lineRule="atLeast"/>
        <w:ind w:firstLine="640" w:firstLineChars="200"/>
        <w:jc w:val="both"/>
        <w:textAlignment w:val="baseline"/>
        <w:rPr>
          <w:rFonts w:ascii="仿宋" w:hAnsi="仿宋" w:eastAsia="仿宋" w:cs="仿宋"/>
          <w:sz w:val="32"/>
          <w:szCs w:val="32"/>
          <w:shd w:val="clear" w:color="auto" w:fill="FFFFFF"/>
        </w:rPr>
      </w:pPr>
      <w:r>
        <w:rPr>
          <w:rFonts w:hint="eastAsia" w:ascii="楷体" w:hAnsi="楷体" w:eastAsia="楷体" w:cs="楷体"/>
          <w:sz w:val="32"/>
          <w:szCs w:val="32"/>
          <w:shd w:val="clear" w:color="auto" w:fill="FFFFFF"/>
        </w:rPr>
        <w:t>（三）加强宣传引导。</w:t>
      </w:r>
      <w:r>
        <w:rPr>
          <w:rFonts w:hint="eastAsia" w:ascii="仿宋" w:hAnsi="仿宋" w:eastAsia="仿宋" w:cs="仿宋"/>
          <w:sz w:val="32"/>
          <w:szCs w:val="32"/>
          <w:shd w:val="clear" w:color="auto" w:fill="FFFFFF"/>
        </w:rPr>
        <w:t>组织做好智慧停车建设工作的信息宣传工作，及时总结典型经验做法，为智慧停车管理工作营造良好氛围。加强教育发动和舆论引导，扩大公众知晓率和参与度，引导市民树立停车付费、顺向有序停车意识。</w:t>
      </w:r>
    </w:p>
    <w:p w14:paraId="2898F203">
      <w:pPr>
        <w:pStyle w:val="4"/>
        <w:widowControl/>
        <w:shd w:val="clear" w:color="auto" w:fill="FFFFFF"/>
        <w:spacing w:beforeAutospacing="0" w:afterAutospacing="0" w:line="600" w:lineRule="atLeast"/>
        <w:ind w:firstLine="640" w:firstLineChars="200"/>
        <w:jc w:val="both"/>
        <w:textAlignment w:val="baseline"/>
        <w:rPr>
          <w:rFonts w:ascii="仿宋" w:hAnsi="仿宋" w:eastAsia="仿宋" w:cs="仿宋"/>
          <w:sz w:val="32"/>
          <w:szCs w:val="32"/>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5B59EE"/>
    <w:rsid w:val="000F1FBA"/>
    <w:rsid w:val="00200FD4"/>
    <w:rsid w:val="002C6139"/>
    <w:rsid w:val="002C70C3"/>
    <w:rsid w:val="002E4231"/>
    <w:rsid w:val="0037382A"/>
    <w:rsid w:val="00376583"/>
    <w:rsid w:val="00385E28"/>
    <w:rsid w:val="004046C9"/>
    <w:rsid w:val="00421234"/>
    <w:rsid w:val="00485756"/>
    <w:rsid w:val="004F6772"/>
    <w:rsid w:val="004F726F"/>
    <w:rsid w:val="005E2DA6"/>
    <w:rsid w:val="005E5674"/>
    <w:rsid w:val="00654AA8"/>
    <w:rsid w:val="0065576C"/>
    <w:rsid w:val="00687647"/>
    <w:rsid w:val="00745604"/>
    <w:rsid w:val="008463A8"/>
    <w:rsid w:val="00917234"/>
    <w:rsid w:val="009A7558"/>
    <w:rsid w:val="00A07171"/>
    <w:rsid w:val="00B065B5"/>
    <w:rsid w:val="00B849DE"/>
    <w:rsid w:val="00E0569F"/>
    <w:rsid w:val="00E1134E"/>
    <w:rsid w:val="00E76BDB"/>
    <w:rsid w:val="00EF5A53"/>
    <w:rsid w:val="00F4797E"/>
    <w:rsid w:val="14303F6E"/>
    <w:rsid w:val="24DC7042"/>
    <w:rsid w:val="29BC7180"/>
    <w:rsid w:val="30B1730D"/>
    <w:rsid w:val="35142BE4"/>
    <w:rsid w:val="39290B09"/>
    <w:rsid w:val="58B61331"/>
    <w:rsid w:val="5C341831"/>
    <w:rsid w:val="6C5B59EE"/>
    <w:rsid w:val="6E290B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character" w:customStyle="1" w:styleId="7">
    <w:name w:val="页眉 Char"/>
    <w:basedOn w:val="6"/>
    <w:link w:val="3"/>
    <w:qFormat/>
    <w:uiPriority w:val="0"/>
    <w:rPr>
      <w:rFonts w:asciiTheme="minorHAnsi" w:hAnsiTheme="minorHAnsi" w:eastAsiaTheme="minorEastAsia" w:cstheme="minorBidi"/>
      <w:kern w:val="2"/>
      <w:sz w:val="18"/>
      <w:szCs w:val="18"/>
    </w:rPr>
  </w:style>
  <w:style w:type="character" w:customStyle="1" w:styleId="8">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GMCC</Company>
  <Pages>11</Pages>
  <Words>5129</Words>
  <Characters>5304</Characters>
  <Lines>38</Lines>
  <Paragraphs>10</Paragraphs>
  <TotalTime>0</TotalTime>
  <ScaleCrop>false</ScaleCrop>
  <LinksUpToDate>false</LinksUpToDate>
  <CharactersWithSpaces>5309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2024-11-11T03:37:00Z</dcterms:created>
  <dc:creator>GZ-PPP-K</dc:creator>
  <cp:lastModifiedBy>Yami</cp:lastModifiedBy>
  <dcterms:modified xsi:type="dcterms:W3CDTF">2024-11-26T02:24:58Z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AB4FCA3E3107431196B89904CA87E21E</vt:lpwstr>
  </property>
</Properties>
</file>