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eastAsiaTheme="minorEastAsia"/>
          <w:b w:val="0"/>
          <w:bCs w:val="0"/>
          <w:sz w:val="32"/>
          <w:szCs w:val="32"/>
          <w:lang w:val="en-US" w:eastAsia="zh-CN"/>
        </w:rPr>
      </w:pPr>
      <w:r>
        <w:rPr>
          <w:rFonts w:hint="eastAsia"/>
          <w:b w:val="0"/>
          <w:bCs w:val="0"/>
          <w:sz w:val="32"/>
          <w:szCs w:val="32"/>
          <w:lang w:val="en-US" w:eastAsia="zh-CN"/>
        </w:rPr>
        <w:t>附件1</w:t>
      </w:r>
    </w:p>
    <w:p>
      <w:pPr>
        <w:widowControl/>
        <w:jc w:val="center"/>
        <w:rPr>
          <w:b/>
          <w:bCs/>
          <w:sz w:val="44"/>
          <w:szCs w:val="44"/>
        </w:rPr>
      </w:pPr>
      <w:r>
        <w:rPr>
          <w:rFonts w:hint="eastAsia"/>
          <w:b/>
          <w:bCs/>
          <w:sz w:val="44"/>
          <w:szCs w:val="44"/>
        </w:rPr>
        <w:t>开平市2023年地膜科学使用回收试点项目实施方案（讨论稿）</w:t>
      </w:r>
    </w:p>
    <w:p>
      <w:pPr>
        <w:pStyle w:val="4"/>
        <w:spacing w:line="560" w:lineRule="exact"/>
        <w:ind w:right="105" w:firstLine="640" w:firstLineChars="200"/>
        <w:rPr>
          <w:rFonts w:ascii="仿宋" w:hAnsi="仿宋" w:eastAsia="仿宋" w:cs="仿宋"/>
          <w:sz w:val="32"/>
          <w:szCs w:val="32"/>
        </w:rPr>
      </w:pPr>
      <w:r>
        <w:rPr>
          <w:rFonts w:hint="eastAsia" w:ascii="仿宋" w:hAnsi="仿宋" w:eastAsia="仿宋" w:cs="仿宋"/>
          <w:sz w:val="32"/>
          <w:szCs w:val="32"/>
        </w:rPr>
        <w:t>为深入贯彻党中央、国务院有关决策部署，加快推进地膜污染防治，根据广东省农业农村厅《关于印发2023年农业生态资源保护资金（地膜科学使用回收）任务清单的通知》（粤农农计〔2023〕84号），江门市财政局《江门市财政局关于调整下达 2023 年中央农业生态资源保护资金（第三批）的通知》（江财农〔2023〕162号）和江门市农业农村局《关于下达&lt;2023年农业生态资源保护资金（地膜科学使用回收）任务清单&gt;的通知》等要求，结合我市实际，制定本方案。</w:t>
      </w:r>
    </w:p>
    <w:p>
      <w:pPr>
        <w:widowControl/>
        <w:numPr>
          <w:ilvl w:val="0"/>
          <w:numId w:val="2"/>
        </w:numPr>
        <w:ind w:firstLine="643" w:firstLineChars="200"/>
        <w:jc w:val="left"/>
        <w:rPr>
          <w:rFonts w:ascii="宋体" w:hAnsi="宋体" w:eastAsia="宋体" w:cs="宋体"/>
        </w:rPr>
      </w:pPr>
      <w:r>
        <w:rPr>
          <w:rFonts w:hint="eastAsia" w:ascii="宋体" w:hAnsi="宋体" w:eastAsia="宋体" w:cs="宋体"/>
          <w:b/>
          <w:bCs/>
          <w:sz w:val="32"/>
          <w:szCs w:val="32"/>
        </w:rPr>
        <w:t>绩效目标</w:t>
      </w:r>
    </w:p>
    <w:p>
      <w:pPr>
        <w:pStyle w:val="4"/>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2024年试点聚焦玉米、甘薯、</w:t>
      </w:r>
      <w:r>
        <w:rPr>
          <w:rFonts w:hint="eastAsia" w:ascii="仿宋" w:hAnsi="仿宋" w:eastAsia="仿宋" w:cs="仿宋"/>
          <w:sz w:val="32"/>
          <w:szCs w:val="32"/>
          <w:lang w:val="en-US" w:eastAsia="zh-CN"/>
        </w:rPr>
        <w:t>马铃薯、</w:t>
      </w:r>
      <w:r>
        <w:rPr>
          <w:rFonts w:hint="eastAsia" w:ascii="仿宋" w:hAnsi="仿宋" w:eastAsia="仿宋" w:cs="仿宋"/>
          <w:sz w:val="32"/>
          <w:szCs w:val="32"/>
        </w:rPr>
        <w:t>花生和蔬菜等主要覆膜作物集中区域，全市推广应用加厚高强度地膜1.03万亩，全生物降解地膜 0.51万亩，地膜回收率≥83%，服务群众满意率≥90%，无资金使用重大违规违纪问题。</w:t>
      </w:r>
    </w:p>
    <w:p>
      <w:pPr>
        <w:pStyle w:val="4"/>
        <w:spacing w:line="560" w:lineRule="exact"/>
        <w:ind w:firstLine="640" w:firstLineChars="200"/>
      </w:pPr>
      <w:r>
        <w:rPr>
          <w:rFonts w:hint="eastAsia" w:ascii="仿宋" w:hAnsi="仿宋" w:eastAsia="仿宋" w:cs="仿宋"/>
          <w:sz w:val="32"/>
          <w:szCs w:val="32"/>
        </w:rPr>
        <w:t>科学规范、权责清晰、治理有效的地膜使用回收利用工作机制基本形成，农民使用加厚高强度地膜和全生物降解地膜的积极性和自觉性明显提高，从田间到田头到资源化再利用的全链条地膜使用回收体系不断健全，地膜科学使用和回收利用水平得到全面提高，农田“白色污染”得到有效防控。</w:t>
      </w:r>
    </w:p>
    <w:p>
      <w:pPr>
        <w:widowControl/>
        <w:numPr>
          <w:ilvl w:val="0"/>
          <w:numId w:val="2"/>
        </w:numPr>
        <w:ind w:firstLine="643" w:firstLineChars="200"/>
        <w:jc w:val="left"/>
        <w:rPr>
          <w:rFonts w:ascii="宋体" w:hAnsi="宋体" w:eastAsia="宋体" w:cs="宋体"/>
          <w:b/>
          <w:bCs/>
          <w:color w:val="000000"/>
          <w:kern w:val="0"/>
          <w:sz w:val="32"/>
          <w:szCs w:val="32"/>
          <w:lang w:bidi="ar"/>
        </w:rPr>
      </w:pPr>
      <w:r>
        <w:rPr>
          <w:rFonts w:hint="eastAsia" w:ascii="宋体" w:hAnsi="宋体" w:eastAsia="宋体" w:cs="宋体"/>
          <w:b/>
          <w:bCs/>
          <w:color w:val="000000"/>
          <w:kern w:val="0"/>
          <w:sz w:val="32"/>
          <w:szCs w:val="32"/>
          <w:lang w:bidi="ar"/>
        </w:rPr>
        <w:t>实施内容</w:t>
      </w:r>
    </w:p>
    <w:p>
      <w:pPr>
        <w:pStyle w:val="4"/>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b/>
          <w:bCs/>
          <w:sz w:val="32"/>
          <w:szCs w:val="32"/>
        </w:rPr>
        <w:t>科学推进加厚高强度地膜应用1.03万亩。</w:t>
      </w:r>
      <w:r>
        <w:rPr>
          <w:rFonts w:hint="eastAsia" w:ascii="仿宋" w:hAnsi="仿宋" w:eastAsia="仿宋" w:cs="仿宋"/>
          <w:sz w:val="32"/>
          <w:szCs w:val="32"/>
        </w:rPr>
        <w:t>针对适宜作物，推广应用 0.015 毫米及以上的加厚高强度地膜1.03万亩。</w:t>
      </w:r>
    </w:p>
    <w:p>
      <w:pPr>
        <w:pStyle w:val="4"/>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b/>
          <w:bCs/>
          <w:sz w:val="32"/>
          <w:szCs w:val="32"/>
        </w:rPr>
        <w:t>有序推进全生物降解地膜0.51万亩。</w:t>
      </w:r>
      <w:r>
        <w:rPr>
          <w:rFonts w:hint="eastAsia" w:ascii="仿宋" w:hAnsi="仿宋" w:eastAsia="仿宋" w:cs="仿宋"/>
          <w:sz w:val="32"/>
          <w:szCs w:val="32"/>
        </w:rPr>
        <w:t>针对适宜作物， 在开展应用效果评价或做好可行性论证的基础上，有序推广全生物降解地膜。</w:t>
      </w:r>
    </w:p>
    <w:p>
      <w:pPr>
        <w:pStyle w:val="4"/>
        <w:spacing w:line="560" w:lineRule="exact"/>
        <w:ind w:left="106" w:right="266" w:firstLine="640"/>
        <w:rPr>
          <w:rFonts w:ascii="仿宋" w:hAnsi="仿宋" w:eastAsia="仿宋" w:cs="仿宋"/>
          <w:sz w:val="32"/>
          <w:szCs w:val="32"/>
        </w:rPr>
      </w:pPr>
      <w:r>
        <w:rPr>
          <w:rFonts w:hint="eastAsia" w:ascii="仿宋" w:hAnsi="仿宋" w:eastAsia="仿宋" w:cs="仿宋"/>
          <w:sz w:val="32"/>
          <w:szCs w:val="32"/>
        </w:rPr>
        <w:t>（三）</w:t>
      </w:r>
      <w:r>
        <w:rPr>
          <w:rFonts w:hint="eastAsia" w:ascii="仿宋" w:hAnsi="仿宋" w:eastAsia="仿宋" w:cs="仿宋"/>
          <w:b/>
          <w:bCs/>
          <w:sz w:val="32"/>
          <w:szCs w:val="32"/>
        </w:rPr>
        <w:t>加强地膜科学使用。</w:t>
      </w:r>
      <w:r>
        <w:rPr>
          <w:rFonts w:hint="eastAsia" w:ascii="仿宋" w:hAnsi="仿宋" w:eastAsia="仿宋" w:cs="仿宋"/>
          <w:sz w:val="32"/>
          <w:szCs w:val="32"/>
        </w:rPr>
        <w:t>开展地膜覆盖适宜性评价，强化地膜源头减量，推广地膜高效科学覆盖技术，推动通过抗旱品种选育、种植结构调整、一膜多用、改进覆盖等方式，提高地膜使用效率，降低使用强度。</w:t>
      </w:r>
    </w:p>
    <w:p>
      <w:pPr>
        <w:pStyle w:val="4"/>
        <w:spacing w:line="560" w:lineRule="exact"/>
        <w:ind w:left="106" w:right="266" w:firstLine="640"/>
        <w:rPr>
          <w:rFonts w:ascii="仿宋" w:hAnsi="仿宋" w:eastAsia="仿宋" w:cs="仿宋"/>
          <w:sz w:val="32"/>
          <w:szCs w:val="32"/>
        </w:rPr>
      </w:pPr>
      <w:r>
        <w:rPr>
          <w:rFonts w:hint="eastAsia" w:ascii="仿宋" w:hAnsi="仿宋" w:eastAsia="仿宋" w:cs="仿宋"/>
          <w:sz w:val="32"/>
          <w:szCs w:val="32"/>
        </w:rPr>
        <w:t>（四）</w:t>
      </w:r>
      <w:r>
        <w:rPr>
          <w:rFonts w:hint="eastAsia" w:ascii="仿宋" w:hAnsi="仿宋" w:eastAsia="仿宋" w:cs="仿宋"/>
          <w:b/>
          <w:bCs/>
          <w:sz w:val="32"/>
          <w:szCs w:val="32"/>
        </w:rPr>
        <w:t>健全科学高效回收利用体系。</w:t>
      </w:r>
      <w:r>
        <w:rPr>
          <w:rFonts w:hint="eastAsia" w:ascii="仿宋" w:hAnsi="仿宋" w:eastAsia="仿宋" w:cs="仿宋"/>
          <w:sz w:val="32"/>
          <w:szCs w:val="32"/>
        </w:rPr>
        <w:t>围绕提升地膜厚度、 强度以及机械化捡拾比例，寄托专业化服务组织，逐步推广以旧换新、经营主体上交、第三方机构回收等多元化；要因地制宜、科学布局，探索建立与废旧农膜产生量相匹配的回收利用网点。</w:t>
      </w:r>
    </w:p>
    <w:p>
      <w:pPr>
        <w:pStyle w:val="4"/>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w:t>
      </w:r>
      <w:r>
        <w:rPr>
          <w:rFonts w:hint="eastAsia" w:ascii="仿宋" w:hAnsi="仿宋" w:eastAsia="仿宋" w:cs="仿宋"/>
          <w:b/>
          <w:bCs/>
          <w:sz w:val="32"/>
          <w:szCs w:val="32"/>
        </w:rPr>
        <w:t>开展宣传培训。</w:t>
      </w:r>
      <w:r>
        <w:rPr>
          <w:rFonts w:hint="eastAsia" w:ascii="仿宋" w:hAnsi="仿宋" w:eastAsia="仿宋" w:cs="仿宋"/>
          <w:sz w:val="32"/>
          <w:szCs w:val="32"/>
        </w:rPr>
        <w:t>组织开展宣传培训不少于2期，培训人数不少于50人次，提高农户科学使用和回收地膜的意识，营造全社会共同参与的良好氛围。</w:t>
      </w:r>
    </w:p>
    <w:p>
      <w:pPr>
        <w:pStyle w:val="4"/>
        <w:spacing w:line="560" w:lineRule="exact"/>
        <w:ind w:left="106" w:right="266" w:firstLine="640"/>
        <w:rPr>
          <w:rFonts w:ascii="仿宋" w:hAnsi="仿宋" w:eastAsia="仿宋" w:cs="仿宋"/>
          <w:sz w:val="32"/>
          <w:szCs w:val="32"/>
        </w:rPr>
      </w:pPr>
      <w:r>
        <w:rPr>
          <w:rFonts w:hint="eastAsia" w:ascii="仿宋" w:hAnsi="仿宋" w:eastAsia="仿宋" w:cs="仿宋"/>
          <w:sz w:val="32"/>
          <w:szCs w:val="32"/>
        </w:rPr>
        <w:t>（六）</w:t>
      </w:r>
      <w:r>
        <w:rPr>
          <w:rFonts w:hint="eastAsia" w:ascii="仿宋" w:hAnsi="仿宋" w:eastAsia="仿宋" w:cs="仿宋"/>
          <w:b/>
          <w:bCs/>
          <w:sz w:val="32"/>
          <w:szCs w:val="32"/>
        </w:rPr>
        <w:t>开展地膜回收和服务群众满意度调查。</w:t>
      </w:r>
      <w:r>
        <w:rPr>
          <w:rFonts w:hint="eastAsia" w:ascii="仿宋" w:hAnsi="仿宋" w:eastAsia="仿宋" w:cs="仿宋"/>
          <w:sz w:val="32"/>
          <w:szCs w:val="32"/>
        </w:rPr>
        <w:t>其中：地膜回收率≥83%，服务群众满意率≥90%。</w:t>
      </w:r>
    </w:p>
    <w:p>
      <w:pPr>
        <w:pStyle w:val="4"/>
        <w:spacing w:line="560" w:lineRule="exact"/>
        <w:ind w:left="106" w:right="266" w:firstLine="640"/>
        <w:rPr>
          <w:rFonts w:ascii="宋体" w:hAnsi="宋体" w:eastAsia="宋体" w:cs="宋体"/>
          <w:b/>
          <w:bCs/>
          <w:sz w:val="32"/>
          <w:szCs w:val="32"/>
        </w:rPr>
      </w:pPr>
      <w:r>
        <w:rPr>
          <w:rFonts w:hint="eastAsia" w:ascii="宋体" w:hAnsi="宋体" w:eastAsia="宋体" w:cs="宋体"/>
          <w:b/>
          <w:bCs/>
          <w:sz w:val="32"/>
          <w:szCs w:val="32"/>
        </w:rPr>
        <w:t>三、实施试点区域确定</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（一）各镇（街）农业农村办公室</w:t>
      </w:r>
      <w:r>
        <w:rPr>
          <w:rFonts w:hint="eastAsia" w:ascii="黑体" w:hAnsi="黑体" w:eastAsia="黑体" w:cs="黑体"/>
          <w:sz w:val="32"/>
          <w:szCs w:val="32"/>
        </w:rPr>
        <w:t>[</w:t>
      </w:r>
      <w:r>
        <w:rPr>
          <w:rFonts w:hint="eastAsia" w:ascii="仿宋" w:hAnsi="仿宋" w:eastAsia="仿宋" w:cs="仿宋"/>
          <w:sz w:val="32"/>
          <w:szCs w:val="32"/>
        </w:rPr>
        <w:t>下称镇（街）农办</w:t>
      </w:r>
      <w:r>
        <w:rPr>
          <w:rFonts w:hint="eastAsia" w:ascii="黑体" w:hAnsi="黑体" w:eastAsia="黑体" w:cs="黑体"/>
          <w:sz w:val="32"/>
          <w:szCs w:val="32"/>
        </w:rPr>
        <w:t>]</w:t>
      </w:r>
      <w:r>
        <w:rPr>
          <w:rFonts w:hint="eastAsia" w:ascii="仿宋" w:hAnsi="仿宋" w:eastAsia="仿宋" w:cs="仿宋"/>
          <w:sz w:val="32"/>
          <w:szCs w:val="32"/>
        </w:rPr>
        <w:t>以整镇（街）区域推进和优先扶持积极参与撂荒耕地复耕复种的经营主体等方式，遴选今年积极性高、面积较大、适合开展本项目的种植主体，由实施镇（街）强化宣传，并统一填报《开平市地膜科学使用回收试点项目遴选申报清册汇总表》（附件1）和《开平市地膜科学使用回收试点项目遴选申报清册》（附件2），在属地镇（街）公示栏公示5天，无异议后确定该清册的参与农户（含有关申报信息），向市农业农村局申报（含附件以及公示照片）。</w:t>
      </w:r>
    </w:p>
    <w:p>
      <w:pPr>
        <w:pStyle w:val="4"/>
        <w:spacing w:line="560" w:lineRule="exact"/>
        <w:ind w:left="105" w:leftChars="50" w:right="266" w:firstLine="640" w:firstLineChars="200"/>
        <w:rPr>
          <w:rFonts w:ascii="仿宋" w:hAnsi="仿宋" w:eastAsia="仿宋" w:cs="仿宋"/>
          <w:b/>
          <w:bCs/>
          <w:sz w:val="32"/>
          <w:szCs w:val="32"/>
        </w:rPr>
      </w:pPr>
      <w:r>
        <w:rPr>
          <w:rFonts w:hint="eastAsia" w:ascii="仿宋" w:hAnsi="仿宋" w:eastAsia="仿宋" w:cs="仿宋"/>
          <w:sz w:val="32"/>
          <w:szCs w:val="32"/>
        </w:rPr>
        <w:t>（二）市农业农村局依据镇（街）农办的遴选申报情况，以及本项目采购中标的地膜实施面积结果，按申报整镇推进地膜面积，由大到小确定全市的实施试点区域，参与撂荒耕地复耕复种和后期种植管护的区域优先安排。并在开平市政府信息公开平台公开公示 3天确定结果。</w:t>
      </w:r>
    </w:p>
    <w:p>
      <w:pPr>
        <w:pStyle w:val="4"/>
        <w:ind w:firstLine="643" w:firstLineChars="200"/>
        <w:jc w:val="left"/>
        <w:rPr>
          <w:rFonts w:ascii="宋体" w:hAnsi="宋体" w:eastAsia="宋体" w:cs="宋体"/>
          <w:b/>
          <w:sz w:val="32"/>
          <w:szCs w:val="32"/>
        </w:rPr>
      </w:pPr>
      <w:r>
        <w:rPr>
          <w:rFonts w:hint="eastAsia" w:ascii="宋体" w:hAnsi="宋体" w:eastAsia="宋体" w:cs="宋体"/>
          <w:b/>
          <w:sz w:val="32"/>
          <w:szCs w:val="32"/>
        </w:rPr>
        <w:t>四、技术规范要求</w:t>
      </w:r>
    </w:p>
    <w:p>
      <w:pPr>
        <w:pStyle w:val="4"/>
        <w:spacing w:line="560" w:lineRule="exact"/>
        <w:ind w:left="106" w:right="266" w:firstLine="640"/>
        <w:rPr>
          <w:rFonts w:ascii="仿宋" w:hAnsi="仿宋" w:eastAsia="仿宋" w:cs="仿宋"/>
          <w:sz w:val="32"/>
          <w:szCs w:val="32"/>
        </w:rPr>
      </w:pPr>
      <w:r>
        <w:rPr>
          <w:rFonts w:hint="eastAsia" w:ascii="仿宋" w:hAnsi="仿宋" w:eastAsia="仿宋" w:cs="仿宋"/>
          <w:b/>
          <w:sz w:val="32"/>
          <w:szCs w:val="32"/>
        </w:rPr>
        <w:t>（一）加厚高强度地膜。</w:t>
      </w:r>
      <w:r>
        <w:rPr>
          <w:rFonts w:hint="eastAsia" w:ascii="仿宋" w:hAnsi="仿宋" w:eastAsia="仿宋" w:cs="仿宋"/>
          <w:sz w:val="32"/>
          <w:szCs w:val="32"/>
        </w:rPr>
        <w:t>产品厚度、力学性能等指标应不低于《聚乙烯吹塑农用地面覆盖薄膜》(GB13735-2017)中I类耐老化地膜有关要求，其中产品标称厚度不小于0.015mm，有效覆盖使用时间不低于180天，且使用后最大拉伸负荷、断裂标称应变等力学性能指标不小于初始值的50%。产品原材料中不得加入再生料以及国家明确禁止使用、不利于作物生长和有害土壤的助剂。</w:t>
      </w:r>
    </w:p>
    <w:p>
      <w:pPr>
        <w:pStyle w:val="4"/>
        <w:spacing w:line="560" w:lineRule="exact"/>
        <w:ind w:left="106" w:right="105" w:firstLine="640"/>
        <w:rPr>
          <w:rFonts w:ascii="仿宋" w:hAnsi="仿宋" w:eastAsia="仿宋" w:cs="仿宋"/>
          <w:sz w:val="32"/>
          <w:szCs w:val="32"/>
        </w:rPr>
      </w:pPr>
      <w:r>
        <w:rPr>
          <w:rFonts w:hint="eastAsia" w:ascii="仿宋" w:hAnsi="仿宋" w:eastAsia="仿宋" w:cs="仿宋"/>
          <w:b/>
          <w:sz w:val="32"/>
          <w:szCs w:val="32"/>
        </w:rPr>
        <w:t>（二）全生物降解地膜。</w:t>
      </w:r>
      <w:r>
        <w:rPr>
          <w:rFonts w:hint="eastAsia" w:ascii="仿宋" w:hAnsi="仿宋" w:eastAsia="仿宋" w:cs="仿宋"/>
          <w:sz w:val="32"/>
          <w:szCs w:val="32"/>
        </w:rPr>
        <w:t>产品厚度、力学性能等指标应符合《全生物农用地面覆盖薄膜》(GB/T35795-2017)要求，主要成分为具有完全降解特性的脂肪族聚酯、脂肪族芳香族共聚酯，不得含有聚乙烯、聚丙烯等烯烃类原料。产品水蒸气透过率在400g/(m2·24h)以下，有效使用寿命在 60 天以上。</w:t>
      </w:r>
    </w:p>
    <w:p>
      <w:pPr>
        <w:pStyle w:val="4"/>
        <w:spacing w:line="560" w:lineRule="exact"/>
        <w:ind w:left="106" w:right="266" w:firstLine="640"/>
        <w:rPr>
          <w:rFonts w:ascii="仿宋" w:hAnsi="仿宋" w:eastAsia="仿宋" w:cs="仿宋"/>
          <w:sz w:val="32"/>
          <w:szCs w:val="32"/>
        </w:rPr>
      </w:pPr>
      <w:r>
        <w:rPr>
          <w:rFonts w:hint="eastAsia" w:ascii="仿宋" w:hAnsi="仿宋" w:eastAsia="仿宋" w:cs="仿宋"/>
          <w:b/>
          <w:sz w:val="32"/>
          <w:szCs w:val="32"/>
        </w:rPr>
        <w:t>（三）人工捡拾。</w:t>
      </w:r>
      <w:r>
        <w:rPr>
          <w:rFonts w:hint="eastAsia" w:ascii="仿宋" w:hAnsi="仿宋" w:eastAsia="仿宋" w:cs="仿宋"/>
          <w:sz w:val="32"/>
          <w:szCs w:val="32"/>
        </w:rPr>
        <w:t>在地膜完成功能覆盖期后，膜面未发生明显破损之前，可采取人工适期捡拾回收。在作物收获后或播种前，可采用锄头等工具沿膜侧人工开沟，使压在土壤中的地膜完全暴露，从田头沿覆膜方向进行人工撤膜。</w:t>
      </w:r>
    </w:p>
    <w:p>
      <w:pPr>
        <w:pStyle w:val="4"/>
        <w:spacing w:line="560" w:lineRule="exact"/>
        <w:ind w:left="106" w:right="266" w:firstLine="640"/>
        <w:rPr>
          <w:rFonts w:ascii="仿宋" w:hAnsi="仿宋" w:eastAsia="仿宋" w:cs="仿宋"/>
          <w:sz w:val="32"/>
          <w:szCs w:val="32"/>
        </w:rPr>
      </w:pPr>
      <w:r>
        <w:rPr>
          <w:rFonts w:hint="eastAsia" w:ascii="仿宋" w:hAnsi="仿宋" w:eastAsia="仿宋" w:cs="仿宋"/>
          <w:b/>
          <w:sz w:val="32"/>
          <w:szCs w:val="32"/>
        </w:rPr>
        <w:t>（四）机械捡拾。</w:t>
      </w:r>
      <w:r>
        <w:rPr>
          <w:rFonts w:hint="eastAsia" w:ascii="仿宋" w:hAnsi="仿宋" w:eastAsia="仿宋" w:cs="仿宋"/>
          <w:sz w:val="32"/>
          <w:szCs w:val="32"/>
        </w:rPr>
        <w:t>在作物收获后，针对土地平整和覆膜集中连片地区，可采用适当幅宽的残膜回收单式作业机或秸秆粉 碎还田与残膜回收联合作业机；针对覆膜分散且田块面积较小地区，采用小型单式残膜回收作业机或复式联合作业机具。在下一季播种前，可采用弹齿式、搂耙式等回收机械，进行耕作层内残膜回收作业。为确保捡拾率，可在机械捡拾后，由人工对农田残留地膜和机械无法捡拾区域进行捡拾。</w:t>
      </w:r>
    </w:p>
    <w:p>
      <w:pPr>
        <w:pStyle w:val="4"/>
        <w:spacing w:line="560" w:lineRule="exact"/>
        <w:ind w:left="106" w:right="266" w:firstLine="640"/>
        <w:rPr>
          <w:rFonts w:ascii="仿宋" w:hAnsi="仿宋" w:eastAsia="仿宋" w:cs="仿宋"/>
          <w:b/>
          <w:sz w:val="32"/>
          <w:szCs w:val="32"/>
        </w:rPr>
      </w:pPr>
      <w:r>
        <w:rPr>
          <w:rFonts w:hint="eastAsia" w:ascii="仿宋" w:hAnsi="仿宋" w:eastAsia="仿宋" w:cs="仿宋"/>
          <w:sz w:val="32"/>
          <w:szCs w:val="32"/>
        </w:rPr>
        <w:t>（五）各镇（街）农办协助中标供应商指导项目实施区域内参与农户，用完后需回收的地膜集中放置使用者的管护房，中标供应商依据市农业农村局确定全市的实施试点区域结果</w:t>
      </w:r>
      <w:r>
        <w:rPr>
          <w:rFonts w:hint="eastAsia" w:ascii="仿宋" w:hAnsi="仿宋" w:eastAsia="仿宋" w:cs="仿宋"/>
          <w:sz w:val="32"/>
          <w:szCs w:val="32"/>
          <w:lang w:eastAsia="zh-CN"/>
        </w:rPr>
        <w:t>、</w:t>
      </w:r>
      <w:r>
        <w:rPr>
          <w:rFonts w:hint="eastAsia" w:ascii="仿宋" w:hAnsi="仿宋" w:eastAsia="仿宋" w:cs="仿宋"/>
          <w:sz w:val="32"/>
          <w:szCs w:val="32"/>
        </w:rPr>
        <w:t>本项目实施方案和合同等要求，负责将地膜发放到项目实施试点区域内参与农户，并开展宣传培训，强化指导，做好地膜集中回收、项目总结、审计报告、满意度调查、开具发票和验收资料等。</w:t>
      </w:r>
    </w:p>
    <w:p>
      <w:pPr>
        <w:pStyle w:val="4"/>
        <w:numPr>
          <w:ilvl w:val="0"/>
          <w:numId w:val="3"/>
        </w:numPr>
        <w:ind w:firstLine="643" w:firstLineChars="200"/>
        <w:jc w:val="left"/>
        <w:rPr>
          <w:rFonts w:ascii="宋体" w:hAnsi="宋体" w:eastAsia="宋体" w:cs="宋体"/>
          <w:b/>
          <w:bCs/>
          <w:sz w:val="32"/>
          <w:szCs w:val="32"/>
        </w:rPr>
      </w:pPr>
      <w:r>
        <w:rPr>
          <w:rFonts w:hint="eastAsia" w:ascii="宋体" w:hAnsi="宋体" w:eastAsia="宋体" w:cs="宋体"/>
          <w:b/>
          <w:bCs/>
          <w:sz w:val="32"/>
          <w:szCs w:val="32"/>
        </w:rPr>
        <w:t>资金规模和采购方式</w:t>
      </w:r>
    </w:p>
    <w:p>
      <w:pPr>
        <w:pStyle w:val="4"/>
        <w:spacing w:line="560" w:lineRule="exact"/>
        <w:ind w:left="747"/>
        <w:rPr>
          <w:rFonts w:ascii="仿宋" w:hAnsi="仿宋" w:eastAsia="仿宋" w:cs="仿宋"/>
          <w:sz w:val="32"/>
          <w:szCs w:val="32"/>
        </w:rPr>
      </w:pPr>
      <w:r>
        <w:rPr>
          <w:rFonts w:hint="eastAsia" w:ascii="仿宋" w:hAnsi="仿宋" w:eastAsia="仿宋" w:cs="仿宋"/>
          <w:sz w:val="32"/>
          <w:szCs w:val="32"/>
        </w:rPr>
        <w:t>（一）本项目资金规模是上级下达我市的中央资金77万元。</w:t>
      </w:r>
    </w:p>
    <w:p>
      <w:pPr>
        <w:pStyle w:val="4"/>
        <w:spacing w:line="560" w:lineRule="exact"/>
        <w:ind w:left="106" w:right="264" w:firstLine="640"/>
        <w:rPr>
          <w:rFonts w:ascii="仿宋" w:hAnsi="仿宋" w:eastAsia="仿宋" w:cs="仿宋"/>
          <w:b/>
          <w:bCs/>
          <w:sz w:val="32"/>
          <w:szCs w:val="32"/>
        </w:rPr>
      </w:pPr>
      <w:r>
        <w:rPr>
          <w:rFonts w:hint="eastAsia" w:ascii="仿宋" w:hAnsi="仿宋" w:eastAsia="仿宋" w:cs="仿宋"/>
          <w:sz w:val="32"/>
          <w:szCs w:val="32"/>
        </w:rPr>
        <w:t>（二）根据政府采购的相关规定，用广东省网上中介服务超市采购，采购金额共77万元，项目完成后，项目供应商按要求向市农业农村局提请验收，市农业农村局组织种植业与农业机械化管理股、市农科所等有关人员进行验收，验收通过后根据合同支付资金。</w:t>
      </w:r>
    </w:p>
    <w:p>
      <w:pPr>
        <w:pStyle w:val="10"/>
        <w:spacing w:after="0" w:line="500" w:lineRule="exact"/>
        <w:ind w:firstLine="640" w:firstLineChars="200"/>
        <w:rPr>
          <w:rFonts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（三）强化技术指导服务。项目承担单位开平市农业科学研究所，成立技术指导组，明确分工，加强技术指导。技术专家指导组成员如下：</w:t>
      </w:r>
    </w:p>
    <w:tbl>
      <w:tblPr>
        <w:tblStyle w:val="7"/>
        <w:tblW w:w="85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6"/>
        <w:gridCol w:w="1820"/>
        <w:gridCol w:w="3679"/>
        <w:gridCol w:w="1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1446" w:type="dxa"/>
            <w:vAlign w:val="center"/>
          </w:tcPr>
          <w:p>
            <w:pPr>
              <w:adjustRightInd w:val="0"/>
              <w:snapToGrid w:val="0"/>
              <w:spacing w:line="400" w:lineRule="exact"/>
              <w:ind w:right="152"/>
              <w:jc w:val="center"/>
              <w:rPr>
                <w:rFonts w:ascii="仿宋" w:hAnsi="仿宋" w:eastAsia="仿宋" w:cs="仿宋"/>
                <w:sz w:val="32"/>
                <w:szCs w:val="32"/>
              </w:rPr>
            </w:pPr>
            <w:r>
              <w:rPr>
                <w:rFonts w:hint="eastAsia" w:ascii="仿宋" w:hAnsi="仿宋" w:eastAsia="仿宋" w:cs="仿宋"/>
                <w:sz w:val="32"/>
                <w:szCs w:val="32"/>
              </w:rPr>
              <w:t>姓名</w:t>
            </w:r>
          </w:p>
        </w:tc>
        <w:tc>
          <w:tcPr>
            <w:tcW w:w="1820" w:type="dxa"/>
            <w:vAlign w:val="center"/>
          </w:tcPr>
          <w:p>
            <w:pPr>
              <w:adjustRightInd w:val="0"/>
              <w:snapToGrid w:val="0"/>
              <w:spacing w:line="400" w:lineRule="exact"/>
              <w:ind w:right="152"/>
              <w:jc w:val="center"/>
              <w:rPr>
                <w:rFonts w:ascii="仿宋" w:hAnsi="仿宋" w:eastAsia="仿宋" w:cs="仿宋"/>
                <w:sz w:val="32"/>
                <w:szCs w:val="32"/>
              </w:rPr>
            </w:pPr>
            <w:r>
              <w:rPr>
                <w:rFonts w:hint="eastAsia" w:ascii="仿宋" w:hAnsi="仿宋" w:eastAsia="仿宋" w:cs="仿宋"/>
                <w:sz w:val="32"/>
                <w:szCs w:val="32"/>
              </w:rPr>
              <w:t>职务/职称</w:t>
            </w:r>
          </w:p>
        </w:tc>
        <w:tc>
          <w:tcPr>
            <w:tcW w:w="3679" w:type="dxa"/>
            <w:vAlign w:val="center"/>
          </w:tcPr>
          <w:p>
            <w:pPr>
              <w:adjustRightInd w:val="0"/>
              <w:snapToGrid w:val="0"/>
              <w:spacing w:line="400" w:lineRule="exact"/>
              <w:ind w:right="152"/>
              <w:jc w:val="center"/>
              <w:rPr>
                <w:rFonts w:ascii="仿宋" w:hAnsi="仿宋" w:eastAsia="仿宋" w:cs="仿宋"/>
                <w:sz w:val="32"/>
                <w:szCs w:val="32"/>
              </w:rPr>
            </w:pPr>
            <w:r>
              <w:rPr>
                <w:rFonts w:hint="eastAsia" w:ascii="仿宋" w:hAnsi="仿宋" w:eastAsia="仿宋" w:cs="仿宋"/>
                <w:sz w:val="32"/>
                <w:szCs w:val="32"/>
              </w:rPr>
              <w:t>具体分工</w:t>
            </w:r>
          </w:p>
        </w:tc>
        <w:tc>
          <w:tcPr>
            <w:tcW w:w="1637" w:type="dxa"/>
            <w:vAlign w:val="center"/>
          </w:tcPr>
          <w:p>
            <w:pPr>
              <w:adjustRightInd w:val="0"/>
              <w:snapToGrid w:val="0"/>
              <w:spacing w:line="400" w:lineRule="exact"/>
              <w:ind w:right="152"/>
              <w:jc w:val="center"/>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1446"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谢嘉豪</w:t>
            </w:r>
          </w:p>
        </w:tc>
        <w:tc>
          <w:tcPr>
            <w:tcW w:w="1820"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所长</w:t>
            </w:r>
          </w:p>
        </w:tc>
        <w:tc>
          <w:tcPr>
            <w:tcW w:w="3679"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项目组织领导、协调、指导</w:t>
            </w:r>
          </w:p>
        </w:tc>
        <w:tc>
          <w:tcPr>
            <w:tcW w:w="1637" w:type="dxa"/>
            <w:vMerge w:val="restart"/>
            <w:vAlign w:val="center"/>
          </w:tcPr>
          <w:p>
            <w:pPr>
              <w:adjustRightInd w:val="0"/>
              <w:snapToGrid w:val="0"/>
              <w:spacing w:line="400" w:lineRule="exact"/>
              <w:ind w:right="152"/>
              <w:jc w:val="center"/>
              <w:rPr>
                <w:rFonts w:ascii="仿宋" w:hAnsi="仿宋" w:eastAsia="仿宋" w:cs="仿宋"/>
                <w:sz w:val="32"/>
                <w:szCs w:val="32"/>
              </w:rPr>
            </w:pPr>
          </w:p>
          <w:p>
            <w:pPr>
              <w:adjustRightInd w:val="0"/>
              <w:snapToGrid w:val="0"/>
              <w:spacing w:line="400" w:lineRule="exact"/>
              <w:ind w:right="152"/>
              <w:jc w:val="center"/>
              <w:rPr>
                <w:rFonts w:ascii="仿宋" w:hAnsi="仿宋" w:eastAsia="仿宋" w:cs="仿宋"/>
                <w:sz w:val="32"/>
                <w:szCs w:val="32"/>
              </w:rPr>
            </w:pPr>
          </w:p>
          <w:p>
            <w:pPr>
              <w:adjustRightInd w:val="0"/>
              <w:snapToGrid w:val="0"/>
              <w:spacing w:line="400" w:lineRule="exact"/>
              <w:ind w:right="152"/>
              <w:jc w:val="center"/>
              <w:rPr>
                <w:rFonts w:ascii="仿宋" w:hAnsi="仿宋" w:eastAsia="仿宋" w:cs="仿宋"/>
                <w:sz w:val="32"/>
                <w:szCs w:val="32"/>
              </w:rPr>
            </w:pPr>
          </w:p>
          <w:p>
            <w:pPr>
              <w:adjustRightInd w:val="0"/>
              <w:snapToGrid w:val="0"/>
              <w:spacing w:line="400" w:lineRule="exact"/>
              <w:ind w:right="152"/>
              <w:jc w:val="center"/>
              <w:rPr>
                <w:rFonts w:ascii="仿宋" w:hAnsi="仿宋" w:eastAsia="仿宋" w:cs="仿宋"/>
                <w:sz w:val="32"/>
                <w:szCs w:val="32"/>
              </w:rPr>
            </w:pPr>
          </w:p>
          <w:p>
            <w:pPr>
              <w:adjustRightInd w:val="0"/>
              <w:snapToGrid w:val="0"/>
              <w:spacing w:line="400" w:lineRule="exact"/>
              <w:ind w:right="152"/>
              <w:jc w:val="center"/>
              <w:rPr>
                <w:rFonts w:ascii="仿宋" w:hAnsi="仿宋" w:eastAsia="仿宋" w:cs="仿宋"/>
                <w:sz w:val="32"/>
                <w:szCs w:val="32"/>
              </w:rPr>
            </w:pPr>
          </w:p>
          <w:p>
            <w:pPr>
              <w:adjustRightInd w:val="0"/>
              <w:snapToGrid w:val="0"/>
              <w:spacing w:line="400" w:lineRule="exact"/>
              <w:ind w:right="152"/>
              <w:jc w:val="center"/>
              <w:rPr>
                <w:rFonts w:ascii="仿宋" w:hAnsi="仿宋" w:eastAsia="仿宋" w:cs="仿宋"/>
                <w:sz w:val="32"/>
                <w:szCs w:val="32"/>
              </w:rPr>
            </w:pPr>
          </w:p>
          <w:p>
            <w:pPr>
              <w:adjustRightInd w:val="0"/>
              <w:snapToGrid w:val="0"/>
              <w:spacing w:line="400" w:lineRule="exact"/>
              <w:ind w:right="152"/>
              <w:jc w:val="center"/>
              <w:rPr>
                <w:rFonts w:ascii="仿宋" w:hAnsi="仿宋" w:eastAsia="仿宋" w:cs="仿宋"/>
                <w:sz w:val="32"/>
                <w:szCs w:val="32"/>
              </w:rPr>
            </w:pPr>
          </w:p>
          <w:p>
            <w:pPr>
              <w:adjustRightInd w:val="0"/>
              <w:snapToGrid w:val="0"/>
              <w:spacing w:line="400" w:lineRule="exact"/>
              <w:ind w:right="152"/>
              <w:jc w:val="center"/>
              <w:rPr>
                <w:rFonts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1446"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梁伟雄</w:t>
            </w:r>
          </w:p>
        </w:tc>
        <w:tc>
          <w:tcPr>
            <w:tcW w:w="1820"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副所长</w:t>
            </w:r>
          </w:p>
        </w:tc>
        <w:tc>
          <w:tcPr>
            <w:tcW w:w="3679"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项目协调、指导、实施</w:t>
            </w:r>
          </w:p>
        </w:tc>
        <w:tc>
          <w:tcPr>
            <w:tcW w:w="1637" w:type="dxa"/>
            <w:vMerge w:val="continue"/>
            <w:vAlign w:val="center"/>
          </w:tcPr>
          <w:p>
            <w:pPr>
              <w:adjustRightInd w:val="0"/>
              <w:snapToGrid w:val="0"/>
              <w:spacing w:line="400" w:lineRule="exact"/>
              <w:ind w:right="152"/>
              <w:jc w:val="center"/>
              <w:rPr>
                <w:rFonts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1446"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方寿山</w:t>
            </w:r>
          </w:p>
        </w:tc>
        <w:tc>
          <w:tcPr>
            <w:tcW w:w="1820"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副所长</w:t>
            </w:r>
          </w:p>
        </w:tc>
        <w:tc>
          <w:tcPr>
            <w:tcW w:w="3679"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项目协调、指导、实施</w:t>
            </w:r>
          </w:p>
        </w:tc>
        <w:tc>
          <w:tcPr>
            <w:tcW w:w="1637" w:type="dxa"/>
            <w:vMerge w:val="continue"/>
            <w:vAlign w:val="center"/>
          </w:tcPr>
          <w:p>
            <w:pPr>
              <w:adjustRightInd w:val="0"/>
              <w:snapToGrid w:val="0"/>
              <w:spacing w:line="400" w:lineRule="exact"/>
              <w:ind w:right="152"/>
              <w:jc w:val="center"/>
              <w:rPr>
                <w:rFonts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1446"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张平俊</w:t>
            </w:r>
          </w:p>
        </w:tc>
        <w:tc>
          <w:tcPr>
            <w:tcW w:w="1820"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农艺师</w:t>
            </w:r>
          </w:p>
        </w:tc>
        <w:tc>
          <w:tcPr>
            <w:tcW w:w="3679"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项目实施</w:t>
            </w:r>
          </w:p>
        </w:tc>
        <w:tc>
          <w:tcPr>
            <w:tcW w:w="1637" w:type="dxa"/>
            <w:vMerge w:val="continue"/>
            <w:vAlign w:val="center"/>
          </w:tcPr>
          <w:p>
            <w:pPr>
              <w:adjustRightInd w:val="0"/>
              <w:snapToGrid w:val="0"/>
              <w:spacing w:line="400" w:lineRule="exact"/>
              <w:ind w:right="152"/>
              <w:jc w:val="center"/>
              <w:rPr>
                <w:rFonts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1446"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许淑君</w:t>
            </w:r>
          </w:p>
        </w:tc>
        <w:tc>
          <w:tcPr>
            <w:tcW w:w="1820"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农艺师</w:t>
            </w:r>
          </w:p>
        </w:tc>
        <w:tc>
          <w:tcPr>
            <w:tcW w:w="3679"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项目实施</w:t>
            </w:r>
          </w:p>
        </w:tc>
        <w:tc>
          <w:tcPr>
            <w:tcW w:w="1637" w:type="dxa"/>
            <w:vMerge w:val="continue"/>
            <w:vAlign w:val="center"/>
          </w:tcPr>
          <w:p>
            <w:pPr>
              <w:adjustRightInd w:val="0"/>
              <w:snapToGrid w:val="0"/>
              <w:spacing w:line="400" w:lineRule="exact"/>
              <w:ind w:right="152"/>
              <w:jc w:val="center"/>
              <w:rPr>
                <w:rFonts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1446"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农秋连</w:t>
            </w:r>
          </w:p>
        </w:tc>
        <w:tc>
          <w:tcPr>
            <w:tcW w:w="1820"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农艺师</w:t>
            </w:r>
          </w:p>
        </w:tc>
        <w:tc>
          <w:tcPr>
            <w:tcW w:w="3679"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项目实施</w:t>
            </w:r>
          </w:p>
        </w:tc>
        <w:tc>
          <w:tcPr>
            <w:tcW w:w="1637" w:type="dxa"/>
            <w:vMerge w:val="continue"/>
            <w:vAlign w:val="center"/>
          </w:tcPr>
          <w:p>
            <w:pPr>
              <w:adjustRightInd w:val="0"/>
              <w:snapToGrid w:val="0"/>
              <w:spacing w:line="400" w:lineRule="exact"/>
              <w:ind w:right="152"/>
              <w:jc w:val="center"/>
              <w:rPr>
                <w:rFonts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1446"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吴晓华</w:t>
            </w:r>
          </w:p>
        </w:tc>
        <w:tc>
          <w:tcPr>
            <w:tcW w:w="1820"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助理农艺师</w:t>
            </w:r>
          </w:p>
        </w:tc>
        <w:tc>
          <w:tcPr>
            <w:tcW w:w="3679"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项目实施</w:t>
            </w:r>
          </w:p>
        </w:tc>
        <w:tc>
          <w:tcPr>
            <w:tcW w:w="1637" w:type="dxa"/>
            <w:vMerge w:val="continue"/>
            <w:vAlign w:val="center"/>
          </w:tcPr>
          <w:p>
            <w:pPr>
              <w:adjustRightInd w:val="0"/>
              <w:snapToGrid w:val="0"/>
              <w:spacing w:line="400" w:lineRule="exact"/>
              <w:ind w:right="152"/>
              <w:jc w:val="center"/>
              <w:rPr>
                <w:rFonts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1446"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陈悦均</w:t>
            </w:r>
          </w:p>
        </w:tc>
        <w:tc>
          <w:tcPr>
            <w:tcW w:w="1820"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助理农艺师</w:t>
            </w:r>
          </w:p>
        </w:tc>
        <w:tc>
          <w:tcPr>
            <w:tcW w:w="3679" w:type="dxa"/>
            <w:vAlign w:val="center"/>
          </w:tcPr>
          <w:p>
            <w:pPr>
              <w:snapToGrid w:val="0"/>
              <w:spacing w:line="400" w:lineRule="exact"/>
              <w:jc w:val="center"/>
              <w:rPr>
                <w:rFonts w:ascii="仿宋" w:hAnsi="仿宋" w:eastAsia="仿宋" w:cs="仿宋"/>
                <w:sz w:val="32"/>
                <w:szCs w:val="32"/>
              </w:rPr>
            </w:pPr>
            <w:r>
              <w:rPr>
                <w:rFonts w:hint="eastAsia" w:ascii="仿宋" w:hAnsi="仿宋" w:eastAsia="仿宋" w:cs="仿宋"/>
                <w:sz w:val="32"/>
                <w:szCs w:val="32"/>
              </w:rPr>
              <w:t>项目实施</w:t>
            </w:r>
          </w:p>
        </w:tc>
        <w:tc>
          <w:tcPr>
            <w:tcW w:w="1637" w:type="dxa"/>
            <w:vMerge w:val="continue"/>
            <w:vAlign w:val="center"/>
          </w:tcPr>
          <w:p>
            <w:pPr>
              <w:adjustRightInd w:val="0"/>
              <w:snapToGrid w:val="0"/>
              <w:spacing w:line="400" w:lineRule="exact"/>
              <w:ind w:right="152"/>
              <w:jc w:val="center"/>
              <w:rPr>
                <w:rFonts w:ascii="仿宋" w:hAnsi="仿宋" w:eastAsia="仿宋" w:cs="仿宋"/>
                <w:sz w:val="32"/>
                <w:szCs w:val="32"/>
              </w:rPr>
            </w:pPr>
          </w:p>
        </w:tc>
      </w:tr>
    </w:tbl>
    <w:p>
      <w:pPr>
        <w:pStyle w:val="4"/>
        <w:numPr>
          <w:ilvl w:val="0"/>
          <w:numId w:val="3"/>
        </w:numPr>
        <w:ind w:firstLine="643" w:firstLineChars="200"/>
        <w:jc w:val="left"/>
        <w:rPr>
          <w:rFonts w:ascii="宋体" w:hAnsi="宋体" w:eastAsia="宋体" w:cs="宋体"/>
          <w:b/>
          <w:bCs/>
          <w:snapToGrid w:val="0"/>
          <w:kern w:val="0"/>
          <w:sz w:val="32"/>
          <w:szCs w:val="32"/>
        </w:rPr>
      </w:pPr>
      <w:r>
        <w:rPr>
          <w:rFonts w:hint="eastAsia" w:ascii="宋体" w:hAnsi="宋体" w:eastAsia="宋体" w:cs="宋体"/>
          <w:b/>
          <w:bCs/>
          <w:snapToGrid w:val="0"/>
          <w:kern w:val="0"/>
          <w:sz w:val="32"/>
          <w:szCs w:val="32"/>
        </w:rPr>
        <w:t>实施期限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（一）各镇（街）组织申报（含镇级公示）时间</w:t>
      </w:r>
      <w:r>
        <w:rPr>
          <w:rFonts w:hint="eastAsia" w:ascii="仿宋" w:hAnsi="仿宋" w:eastAsia="仿宋" w:cs="仿宋"/>
          <w:sz w:val="32"/>
          <w:szCs w:val="32"/>
          <w:lang w:val="en-US" w:eastAsia="zh-CN"/>
        </w:rPr>
        <w:t>9月10日-9月18日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（二）公示期：镇级公示5天，市级公示3日；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（三）项目实施时间：202</w:t>
      </w:r>
      <w:bookmarkStart w:id="0" w:name="_GoBack"/>
      <w:bookmarkEnd w:id="0"/>
      <w:r>
        <w:rPr>
          <w:rFonts w:hint="eastAsia" w:ascii="仿宋" w:hAnsi="仿宋" w:eastAsia="仿宋" w:cs="仿宋"/>
          <w:sz w:val="32"/>
          <w:szCs w:val="32"/>
        </w:rPr>
        <w:t>4年</w:t>
      </w:r>
      <w:r>
        <w:rPr>
          <w:rFonts w:hint="eastAsia" w:ascii="仿宋" w:hAnsi="仿宋" w:eastAsia="仿宋" w:cs="仿宋"/>
          <w:sz w:val="32"/>
          <w:szCs w:val="32"/>
          <w:lang w:val="en-US" w:eastAsia="zh-CN"/>
        </w:rPr>
        <w:t>9</w:t>
      </w:r>
      <w:r>
        <w:rPr>
          <w:rFonts w:hint="eastAsia" w:ascii="仿宋" w:hAnsi="仿宋" w:eastAsia="仿宋" w:cs="仿宋"/>
          <w:sz w:val="32"/>
          <w:szCs w:val="32"/>
        </w:rPr>
        <w:t>月至12月；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 w:hAnsi="仿宋" w:eastAsia="仿宋" w:cs="仿宋"/>
          <w:snapToGrid w:val="0"/>
          <w:kern w:val="0"/>
          <w:sz w:val="32"/>
          <w:szCs w:val="32"/>
        </w:rPr>
      </w:pPr>
      <w:r>
        <w:rPr>
          <w:rFonts w:hint="eastAsia" w:ascii="仿宋" w:hAnsi="仿宋" w:eastAsia="仿宋" w:cs="仿宋"/>
          <w:sz w:val="32"/>
          <w:szCs w:val="32"/>
        </w:rPr>
        <w:t>（四）计划完成时间：2024 年12月底前完成。</w:t>
      </w:r>
    </w:p>
    <w:p>
      <w:pPr>
        <w:spacing w:line="560" w:lineRule="exact"/>
        <w:ind w:firstLine="643" w:firstLineChars="200"/>
        <w:rPr>
          <w:rFonts w:ascii="宋体" w:hAnsi="宋体" w:eastAsia="宋体" w:cs="宋体"/>
          <w:b/>
          <w:bCs/>
          <w:sz w:val="32"/>
          <w:szCs w:val="32"/>
        </w:rPr>
      </w:pPr>
      <w:r>
        <w:rPr>
          <w:rFonts w:hint="eastAsia" w:ascii="宋体" w:hAnsi="宋体" w:eastAsia="宋体" w:cs="宋体"/>
          <w:b/>
          <w:bCs/>
          <w:sz w:val="32"/>
          <w:szCs w:val="32"/>
        </w:rPr>
        <w:t>七、保障措施</w:t>
      </w:r>
    </w:p>
    <w:p>
      <w:pPr>
        <w:pStyle w:val="4"/>
        <w:spacing w:line="560" w:lineRule="exact"/>
        <w:ind w:left="106" w:right="266" w:firstLine="640"/>
        <w:rPr>
          <w:rFonts w:ascii="仿宋" w:hAnsi="仿宋" w:eastAsia="仿宋" w:cs="仿宋"/>
          <w:sz w:val="32"/>
          <w:szCs w:val="32"/>
        </w:rPr>
      </w:pPr>
      <w:r>
        <w:rPr>
          <w:rFonts w:hint="eastAsia" w:ascii="仿宋" w:hAnsi="仿宋" w:eastAsia="仿宋" w:cs="仿宋"/>
          <w:b/>
          <w:sz w:val="32"/>
          <w:szCs w:val="32"/>
        </w:rPr>
        <w:t>（一）强化组织领导。</w:t>
      </w:r>
      <w:r>
        <w:rPr>
          <w:rFonts w:hint="eastAsia" w:ascii="仿宋" w:hAnsi="仿宋" w:eastAsia="仿宋" w:cs="仿宋"/>
          <w:sz w:val="32"/>
          <w:szCs w:val="32"/>
        </w:rPr>
        <w:t>地膜科学使用回收试点是党中央、国务院高度重视、重点部署的工作，规定了明确的加厚高强度地膜和全生物降解推广面积、地膜回收率等约束性指标。市农业农村局成立地膜科学使用回收试点领导小组和技术指导组， 编制实施方案，明确地膜科学使用回收试点目标任务、实施区域、工作措施、技术路径和进度安排等具体内容。要加强与生态环境、财政、科技等有关部门的沟通协作，明确责任分工，形成工作合力，确保地膜科学使用回收试点工作落到实处。</w:t>
      </w:r>
    </w:p>
    <w:p>
      <w:pPr>
        <w:pStyle w:val="4"/>
        <w:spacing w:line="560" w:lineRule="exact"/>
        <w:ind w:left="106" w:right="266" w:firstLine="640"/>
        <w:rPr>
          <w:rFonts w:ascii="仿宋" w:hAnsi="仿宋" w:eastAsia="仿宋" w:cs="仿宋"/>
          <w:sz w:val="32"/>
          <w:szCs w:val="32"/>
        </w:rPr>
      </w:pPr>
      <w:r>
        <w:rPr>
          <w:rFonts w:hint="eastAsia" w:ascii="仿宋" w:hAnsi="仿宋" w:eastAsia="仿宋" w:cs="仿宋"/>
          <w:b/>
          <w:sz w:val="32"/>
          <w:szCs w:val="32"/>
        </w:rPr>
        <w:t>（二）强化资金规范使用。</w:t>
      </w:r>
      <w:r>
        <w:rPr>
          <w:rFonts w:hint="eastAsia" w:ascii="仿宋" w:hAnsi="仿宋" w:eastAsia="仿宋" w:cs="仿宋"/>
          <w:sz w:val="32"/>
          <w:szCs w:val="32"/>
        </w:rPr>
        <w:t>要按照财政项目绩效管理有关要求，建立和完善项目资金管理制度，保障资金规范使用，采用适当形式公示补贴发放情况，广泛接受社会监督。要加强监督指导，对试点资金使用情况进行持续跟进，确保资金合规使用、按时拨付。</w:t>
      </w:r>
    </w:p>
    <w:p>
      <w:pPr>
        <w:pStyle w:val="4"/>
        <w:spacing w:line="560" w:lineRule="exact"/>
        <w:ind w:left="106" w:right="105" w:firstLine="640"/>
        <w:rPr>
          <w:rFonts w:ascii="仿宋" w:hAnsi="仿宋" w:eastAsia="仿宋" w:cs="仿宋"/>
          <w:sz w:val="32"/>
          <w:szCs w:val="32"/>
        </w:rPr>
      </w:pPr>
      <w:r>
        <w:rPr>
          <w:rFonts w:hint="eastAsia" w:ascii="仿宋" w:hAnsi="仿宋" w:eastAsia="仿宋" w:cs="仿宋"/>
          <w:b/>
          <w:sz w:val="32"/>
          <w:szCs w:val="32"/>
        </w:rPr>
        <w:t>（三）强化监督管理。</w:t>
      </w:r>
      <w:r>
        <w:rPr>
          <w:rFonts w:hint="eastAsia" w:ascii="仿宋" w:hAnsi="仿宋" w:eastAsia="仿宋" w:cs="仿宋"/>
          <w:sz w:val="32"/>
          <w:szCs w:val="32"/>
        </w:rPr>
        <w:t>要坚决贯彻《农用薄膜管理办法》， 加强地膜全过程监管。要深入组织开展市场执法检查、农资打假等专项行动，定期开展产品质量抽检。要加强地膜使用控制，落实各主体回收废旧地膜的法律责任。要加大各部门联合执法力度，对生产、销售非标地膜和劣质可降解膜产品的企业加大处罚，对未按法律法规规定回收废旧地膜的生产者、销售者、使用者，依法作出处罚。要建立地膜使用回收管理台账，强化监督指导和动态调整。</w:t>
      </w:r>
    </w:p>
    <w:p>
      <w:pPr>
        <w:pStyle w:val="4"/>
        <w:spacing w:line="560" w:lineRule="exact"/>
        <w:ind w:left="106" w:right="266" w:firstLine="640"/>
        <w:rPr>
          <w:rFonts w:ascii="仿宋" w:hAnsi="仿宋" w:eastAsia="仿宋" w:cs="仿宋"/>
          <w:sz w:val="32"/>
          <w:szCs w:val="32"/>
        </w:rPr>
      </w:pPr>
      <w:r>
        <w:rPr>
          <w:rFonts w:hint="eastAsia" w:ascii="仿宋" w:hAnsi="仿宋" w:eastAsia="仿宋" w:cs="仿宋"/>
          <w:b/>
          <w:sz w:val="32"/>
          <w:szCs w:val="32"/>
        </w:rPr>
        <w:t>（四）强化政策支持。</w:t>
      </w:r>
      <w:r>
        <w:rPr>
          <w:rFonts w:hint="eastAsia" w:ascii="仿宋" w:hAnsi="仿宋" w:eastAsia="仿宋" w:cs="仿宋"/>
          <w:sz w:val="32"/>
          <w:szCs w:val="32"/>
        </w:rPr>
        <w:t>要完善配套政策措施，支持废旧地膜回收加工企业按照规定享受金融、用地等优惠政策；认真落实《关于完善资源综合利用增值税政策的公告》（财政部税务总局公告2021年第40号）等文件要求，对符合规定从事再生资源回收、销售利用废农膜生产相关产品的，支持其享受增值税即征即退等税收优惠政策，有效减轻企业等主体负担；积极采取有效措施吸引社会资本参与废弃地膜回收利用，加大对社会化服务主体的扶持力度。</w:t>
      </w:r>
    </w:p>
    <w:p>
      <w:pPr>
        <w:pStyle w:val="4"/>
        <w:spacing w:line="560" w:lineRule="exact"/>
        <w:ind w:left="106" w:right="105" w:firstLine="640"/>
        <w:rPr>
          <w:rFonts w:ascii="仿宋" w:hAnsi="仿宋" w:eastAsia="仿宋" w:cs="仿宋"/>
          <w:sz w:val="32"/>
          <w:szCs w:val="32"/>
        </w:rPr>
      </w:pPr>
      <w:r>
        <w:rPr>
          <w:rFonts w:hint="eastAsia" w:ascii="仿宋" w:hAnsi="仿宋" w:eastAsia="仿宋" w:cs="仿宋"/>
          <w:b/>
          <w:sz w:val="32"/>
          <w:szCs w:val="32"/>
        </w:rPr>
        <w:t>（五）强化技术指导。</w:t>
      </w:r>
      <w:r>
        <w:rPr>
          <w:rFonts w:hint="eastAsia" w:ascii="仿宋" w:hAnsi="仿宋" w:eastAsia="仿宋" w:cs="仿宋"/>
          <w:sz w:val="32"/>
          <w:szCs w:val="32"/>
        </w:rPr>
        <w:t>强化技术指导，充分发挥市农科所的技术支撑作用，因地制宜探索研究、推广应用配套农艺措施和技术装备，保障试点工作顺利开展。要加强地膜应用调查与残留污染监测，科学评价区域污染状况与治理成效。</w:t>
      </w:r>
    </w:p>
    <w:p>
      <w:pPr>
        <w:pStyle w:val="4"/>
        <w:spacing w:line="560" w:lineRule="exact"/>
        <w:ind w:left="106" w:right="34" w:firstLine="640"/>
        <w:rPr>
          <w:rFonts w:ascii="仿宋" w:hAnsi="仿宋" w:eastAsia="仿宋" w:cs="仿宋"/>
          <w:sz w:val="32"/>
          <w:szCs w:val="32"/>
        </w:rPr>
      </w:pPr>
      <w:r>
        <w:rPr>
          <w:rFonts w:hint="eastAsia" w:ascii="仿宋" w:hAnsi="仿宋" w:eastAsia="仿宋" w:cs="仿宋"/>
          <w:b/>
          <w:sz w:val="32"/>
          <w:szCs w:val="32"/>
        </w:rPr>
        <w:t>（六）强化宣传引导。</w:t>
      </w:r>
      <w:r>
        <w:rPr>
          <w:rFonts w:hint="eastAsia" w:ascii="仿宋" w:hAnsi="仿宋" w:eastAsia="仿宋" w:cs="仿宋"/>
          <w:sz w:val="32"/>
          <w:szCs w:val="32"/>
        </w:rPr>
        <w:t>要认真做好地膜科学使用回收宣传， 利用互联网、移动终端、广播电视和明白纸等媒介，组织开展宣传培训活动，提高农户科学使用和回收地膜的意识，营造全社会共同参与的良好氛围。</w:t>
      </w:r>
    </w:p>
    <w:p>
      <w:pPr>
        <w:pStyle w:val="4"/>
        <w:spacing w:line="560" w:lineRule="exact"/>
        <w:ind w:left="747"/>
        <w:rPr>
          <w:rFonts w:ascii="宋体" w:hAnsi="宋体" w:eastAsia="宋体" w:cs="宋体"/>
          <w:b/>
          <w:bCs/>
          <w:sz w:val="32"/>
          <w:szCs w:val="32"/>
        </w:rPr>
      </w:pPr>
      <w:r>
        <w:rPr>
          <w:rFonts w:hint="eastAsia" w:ascii="宋体" w:hAnsi="宋体" w:eastAsia="宋体" w:cs="宋体"/>
          <w:b/>
          <w:bCs/>
          <w:sz w:val="32"/>
          <w:szCs w:val="32"/>
        </w:rPr>
        <w:t>八、效益分析</w:t>
      </w:r>
    </w:p>
    <w:p>
      <w:pPr>
        <w:pStyle w:val="4"/>
        <w:spacing w:line="560" w:lineRule="exact"/>
        <w:ind w:left="747"/>
        <w:rPr>
          <w:rFonts w:ascii="仿宋" w:hAnsi="仿宋" w:eastAsia="仿宋" w:cs="仿宋"/>
          <w:sz w:val="32"/>
          <w:szCs w:val="32"/>
        </w:rPr>
      </w:pPr>
      <w:r>
        <w:rPr>
          <w:rFonts w:hint="eastAsia" w:ascii="仿宋" w:hAnsi="仿宋" w:eastAsia="仿宋" w:cs="仿宋"/>
          <w:sz w:val="32"/>
          <w:szCs w:val="32"/>
        </w:rPr>
        <w:t>主要包括：经济、社会、生态效益三个方面。</w:t>
      </w:r>
    </w:p>
    <w:p>
      <w:pPr>
        <w:pStyle w:val="4"/>
        <w:spacing w:line="560" w:lineRule="exact"/>
        <w:ind w:left="106" w:right="266" w:firstLine="640"/>
        <w:rPr>
          <w:rFonts w:ascii="仿宋" w:hAnsi="仿宋" w:eastAsia="仿宋" w:cs="仿宋"/>
          <w:sz w:val="32"/>
          <w:szCs w:val="32"/>
        </w:rPr>
      </w:pPr>
      <w:r>
        <w:rPr>
          <w:rFonts w:hint="eastAsia" w:ascii="仿宋" w:hAnsi="仿宋" w:eastAsia="仿宋" w:cs="仿宋"/>
          <w:b/>
          <w:sz w:val="32"/>
          <w:szCs w:val="32"/>
        </w:rPr>
        <w:t>（一）经济效益：</w:t>
      </w:r>
      <w:r>
        <w:rPr>
          <w:rFonts w:hint="eastAsia" w:ascii="仿宋" w:hAnsi="仿宋" w:eastAsia="仿宋" w:cs="仿宋"/>
          <w:sz w:val="32"/>
          <w:szCs w:val="32"/>
        </w:rPr>
        <w:t>通过项目实施，对使用符合规定地膜的农户、合作社等给与补助，可有效降低其生产成本。</w:t>
      </w:r>
    </w:p>
    <w:p>
      <w:pPr>
        <w:pStyle w:val="4"/>
        <w:spacing w:line="560" w:lineRule="exact"/>
        <w:ind w:left="106" w:right="266" w:firstLine="640"/>
        <w:rPr>
          <w:rFonts w:ascii="仿宋" w:hAnsi="仿宋" w:eastAsia="仿宋" w:cs="仿宋"/>
          <w:sz w:val="32"/>
          <w:szCs w:val="32"/>
        </w:rPr>
      </w:pPr>
      <w:r>
        <w:rPr>
          <w:rFonts w:hint="eastAsia" w:ascii="仿宋" w:hAnsi="仿宋" w:eastAsia="仿宋" w:cs="仿宋"/>
          <w:b/>
          <w:sz w:val="32"/>
          <w:szCs w:val="32"/>
        </w:rPr>
        <w:t>（二）社会效益：</w:t>
      </w:r>
      <w:r>
        <w:rPr>
          <w:rFonts w:hint="eastAsia" w:ascii="仿宋" w:hAnsi="仿宋" w:eastAsia="仿宋" w:cs="仿宋"/>
          <w:sz w:val="32"/>
          <w:szCs w:val="32"/>
        </w:rPr>
        <w:t>项目实施中通过宣传、培训，可有效提升广大农户对科学使用农膜和废旧农膜造成危害的认识，提高自主使用标准膜、降解膜和捡拾废旧农膜的积极性。项目的实施对促进我市农村节能减排、发展循环经济、保护农村生态环境、加快新农村建设有显著的社会效益。</w:t>
      </w:r>
    </w:p>
    <w:p>
      <w:pPr>
        <w:pStyle w:val="4"/>
        <w:spacing w:line="560" w:lineRule="exact"/>
        <w:ind w:left="106" w:right="105" w:firstLine="640"/>
        <w:rPr>
          <w:rFonts w:ascii="仿宋" w:hAnsi="仿宋" w:eastAsia="仿宋" w:cs="仿宋"/>
          <w:sz w:val="32"/>
          <w:szCs w:val="32"/>
        </w:rPr>
      </w:pPr>
      <w:r>
        <w:rPr>
          <w:rFonts w:hint="eastAsia" w:ascii="仿宋" w:hAnsi="仿宋" w:eastAsia="仿宋" w:cs="仿宋"/>
          <w:b/>
          <w:sz w:val="32"/>
          <w:szCs w:val="32"/>
        </w:rPr>
        <w:t>（三）生态效益：</w:t>
      </w:r>
      <w:r>
        <w:rPr>
          <w:rFonts w:hint="eastAsia" w:ascii="仿宋" w:hAnsi="仿宋" w:eastAsia="仿宋" w:cs="仿宋"/>
          <w:sz w:val="32"/>
          <w:szCs w:val="32"/>
        </w:rPr>
        <w:t>通过项目实施，推动全市农村废旧农膜变废为宝、变害为利、变弃为用，降低废旧农膜对土壤、水源、大气造成的污染，有效治理农村生产生活环境和农业面源污染， 极大地改善我市农业生产的生态环境，引领我市农村走资源节约、循环利用、环境友好、生态文明的良性发展道路。</w:t>
      </w:r>
    </w:p>
    <w:p>
      <w:pPr>
        <w:pStyle w:val="4"/>
        <w:spacing w:line="560" w:lineRule="exact"/>
        <w:ind w:left="106" w:right="105" w:firstLine="640"/>
        <w:rPr>
          <w:rFonts w:ascii="仿宋" w:hAnsi="仿宋" w:eastAsia="仿宋" w:cs="仿宋"/>
          <w:sz w:val="32"/>
          <w:szCs w:val="32"/>
        </w:rPr>
      </w:pPr>
    </w:p>
    <w:p>
      <w:pPr>
        <w:widowControl/>
        <w:jc w:val="left"/>
        <w:rPr>
          <w:rFonts w:ascii="Calibri Light" w:hAnsi="Calibri Light" w:cs="宋体"/>
          <w:b/>
          <w:bCs/>
          <w:kern w:val="0"/>
          <w:sz w:val="32"/>
          <w:szCs w:val="32"/>
        </w:rPr>
      </w:pPr>
    </w:p>
    <w:p>
      <w:pPr>
        <w:widowControl/>
        <w:jc w:val="left"/>
        <w:rPr>
          <w:rFonts w:ascii="Calibri Light" w:hAnsi="Calibri Light" w:cs="宋体"/>
          <w:b/>
          <w:bCs/>
          <w:kern w:val="0"/>
          <w:sz w:val="32"/>
          <w:szCs w:val="32"/>
        </w:rPr>
      </w:pPr>
    </w:p>
    <w:p>
      <w:pPr>
        <w:widowControl/>
        <w:jc w:val="left"/>
        <w:rPr>
          <w:rFonts w:ascii="Calibri Light" w:hAnsi="Calibri Light" w:cs="宋体"/>
          <w:b/>
          <w:bCs/>
          <w:kern w:val="0"/>
          <w:sz w:val="32"/>
          <w:szCs w:val="32"/>
        </w:rPr>
      </w:pPr>
    </w:p>
    <w:p>
      <w:pPr>
        <w:widowControl/>
        <w:jc w:val="left"/>
        <w:rPr>
          <w:rFonts w:ascii="Calibri Light" w:hAnsi="Calibri Light" w:cs="宋体"/>
          <w:b/>
          <w:bCs/>
          <w:kern w:val="0"/>
          <w:sz w:val="32"/>
          <w:szCs w:val="32"/>
        </w:rPr>
      </w:pPr>
    </w:p>
    <w:p>
      <w:pPr>
        <w:widowControl/>
        <w:jc w:val="left"/>
        <w:rPr>
          <w:rFonts w:ascii="Calibri Light" w:hAnsi="Calibri Light" w:cs="宋体"/>
          <w:b/>
          <w:bCs/>
          <w:kern w:val="0"/>
          <w:sz w:val="32"/>
          <w:szCs w:val="32"/>
        </w:rPr>
      </w:pPr>
    </w:p>
    <w:p>
      <w:pPr>
        <w:widowControl/>
        <w:jc w:val="left"/>
        <w:rPr>
          <w:rFonts w:ascii="Calibri Light" w:hAnsi="Calibri Light" w:cs="宋体"/>
          <w:b/>
          <w:bCs/>
          <w:kern w:val="0"/>
          <w:sz w:val="32"/>
          <w:szCs w:val="32"/>
        </w:rPr>
      </w:pPr>
    </w:p>
    <w:p>
      <w:pPr>
        <w:widowControl/>
        <w:jc w:val="left"/>
        <w:rPr>
          <w:rFonts w:ascii="Calibri Light" w:hAnsi="Calibri Light" w:cs="宋体"/>
          <w:b/>
          <w:bCs/>
          <w:kern w:val="0"/>
          <w:sz w:val="32"/>
          <w:szCs w:val="32"/>
        </w:rPr>
      </w:pPr>
    </w:p>
    <w:p>
      <w:pPr>
        <w:widowControl/>
        <w:jc w:val="left"/>
        <w:rPr>
          <w:rFonts w:ascii="Calibri Light" w:hAnsi="Calibri Light" w:cs="宋体"/>
          <w:b/>
          <w:bCs/>
          <w:kern w:val="0"/>
          <w:sz w:val="32"/>
          <w:szCs w:val="32"/>
        </w:rPr>
        <w:sectPr>
          <w:footerReference r:id="rId3" w:type="default"/>
          <w:pgSz w:w="11906" w:h="16838"/>
          <w:pgMar w:top="1440" w:right="1800" w:bottom="1440" w:left="1800" w:header="851" w:footer="992" w:gutter="0"/>
          <w:cols w:space="425" w:num="1"/>
          <w:docGrid w:type="lines" w:linePitch="312" w:charSpace="0"/>
        </w:sectPr>
      </w:pPr>
    </w:p>
    <w:p>
      <w:pPr>
        <w:widowControl/>
        <w:jc w:val="left"/>
        <w:rPr>
          <w:rFonts w:hint="eastAsia" w:asciiTheme="minorEastAsia" w:hAnsiTheme="minorEastAsia" w:eastAsiaTheme="minorEastAsia" w:cstheme="minorEastAsia"/>
          <w:b w:val="0"/>
          <w:bCs w:val="0"/>
          <w:kern w:val="0"/>
          <w:sz w:val="32"/>
          <w:szCs w:val="32"/>
        </w:rPr>
      </w:pPr>
      <w:r>
        <w:rPr>
          <w:rFonts w:hint="eastAsia" w:asciiTheme="minorEastAsia" w:hAnsiTheme="minorEastAsia" w:eastAsiaTheme="minorEastAsia" w:cstheme="minorEastAsia"/>
          <w:b w:val="0"/>
          <w:bCs w:val="0"/>
          <w:kern w:val="0"/>
          <w:sz w:val="32"/>
          <w:szCs w:val="32"/>
        </w:rPr>
        <w:t>附件</w:t>
      </w:r>
      <w:r>
        <w:rPr>
          <w:rFonts w:hint="eastAsia" w:asciiTheme="minorEastAsia" w:hAnsiTheme="minorEastAsia" w:eastAsiaTheme="minorEastAsia" w:cstheme="minorEastAsia"/>
          <w:b w:val="0"/>
          <w:bCs w:val="0"/>
          <w:kern w:val="0"/>
          <w:sz w:val="32"/>
          <w:szCs w:val="32"/>
          <w:lang w:val="en-US" w:eastAsia="zh-CN"/>
        </w:rPr>
        <w:t>2</w:t>
      </w:r>
    </w:p>
    <w:p>
      <w:pPr>
        <w:spacing w:line="500" w:lineRule="exact"/>
        <w:jc w:val="center"/>
        <w:rPr>
          <w:rFonts w:ascii="方正公文小标宋" w:hAnsi="仿宋" w:eastAsia="方正公文小标宋" w:cs="仿宋"/>
          <w:color w:val="000000"/>
          <w:kern w:val="0"/>
          <w:sz w:val="44"/>
          <w:szCs w:val="44"/>
          <w:lang w:bidi="ar"/>
        </w:rPr>
      </w:pPr>
      <w:r>
        <w:rPr>
          <w:rFonts w:hint="eastAsia" w:ascii="方正公文小标宋" w:hAnsi="仿宋" w:eastAsia="方正公文小标宋" w:cs="仿宋"/>
          <w:color w:val="000000"/>
          <w:kern w:val="0"/>
          <w:sz w:val="44"/>
          <w:szCs w:val="44"/>
          <w:lang w:bidi="ar"/>
        </w:rPr>
        <w:t>开平市地膜科学使用回收试点项目遴选申报</w:t>
      </w:r>
      <w:r>
        <w:rPr>
          <w:rFonts w:hint="eastAsia" w:ascii="方正公文小标宋" w:hAnsi="仿宋" w:eastAsia="方正公文小标宋" w:cs="仿宋"/>
          <w:color w:val="000000"/>
          <w:kern w:val="0"/>
          <w:sz w:val="44"/>
          <w:szCs w:val="44"/>
          <w:lang w:val="en-US" w:eastAsia="zh-CN" w:bidi="ar"/>
        </w:rPr>
        <w:t>汇</w:t>
      </w:r>
      <w:r>
        <w:rPr>
          <w:rFonts w:hint="eastAsia" w:ascii="方正公文小标宋" w:hAnsi="仿宋" w:eastAsia="方正公文小标宋" w:cs="仿宋"/>
          <w:color w:val="000000"/>
          <w:kern w:val="0"/>
          <w:sz w:val="44"/>
          <w:szCs w:val="44"/>
          <w:lang w:bidi="ar"/>
        </w:rPr>
        <w:t>总表</w:t>
      </w:r>
    </w:p>
    <w:p>
      <w:pPr>
        <w:spacing w:line="500" w:lineRule="exact"/>
        <w:jc w:val="left"/>
        <w:rPr>
          <w:rFonts w:ascii="仿宋" w:hAnsi="仿宋" w:eastAsia="仿宋" w:cs="仿宋"/>
          <w:color w:val="000000"/>
          <w:kern w:val="0"/>
          <w:sz w:val="30"/>
          <w:szCs w:val="30"/>
          <w:lang w:bidi="ar"/>
        </w:rPr>
      </w:pPr>
      <w:r>
        <w:rPr>
          <w:rStyle w:val="14"/>
          <w:rFonts w:hint="default" w:ascii="仿宋" w:hAnsi="仿宋" w:eastAsia="仿宋" w:cs="仿宋"/>
          <w:sz w:val="30"/>
          <w:szCs w:val="30"/>
          <w:lang w:bidi="ar"/>
        </w:rPr>
        <w:t>填报单位：</w:t>
      </w:r>
      <w:r>
        <w:rPr>
          <w:rStyle w:val="15"/>
          <w:rFonts w:hint="default" w:ascii="仿宋" w:hAnsi="仿宋" w:eastAsia="仿宋" w:cs="仿宋"/>
          <w:sz w:val="30"/>
          <w:szCs w:val="30"/>
          <w:lang w:bidi="ar"/>
        </w:rPr>
        <w:t xml:space="preserve">          </w:t>
      </w:r>
      <w:r>
        <w:rPr>
          <w:rStyle w:val="14"/>
          <w:rFonts w:hint="default" w:ascii="仿宋" w:hAnsi="仿宋" w:eastAsia="仿宋" w:cs="仿宋"/>
          <w:sz w:val="30"/>
          <w:szCs w:val="30"/>
          <w:lang w:bidi="ar"/>
        </w:rPr>
        <w:t>镇（街）农业农村办公室（盖章）                填报日期：      年   月   日</w:t>
      </w:r>
    </w:p>
    <w:tbl>
      <w:tblPr>
        <w:tblStyle w:val="7"/>
        <w:tblW w:w="13979" w:type="dxa"/>
        <w:tblInd w:w="93" w:type="dxa"/>
        <w:tblLayout w:type="fixed"/>
        <w:tblCellMar>
          <w:top w:w="0" w:type="dxa"/>
          <w:left w:w="108" w:type="dxa"/>
          <w:bottom w:w="0" w:type="dxa"/>
          <w:right w:w="108" w:type="dxa"/>
        </w:tblCellMar>
      </w:tblPr>
      <w:tblGrid>
        <w:gridCol w:w="714"/>
        <w:gridCol w:w="1133"/>
        <w:gridCol w:w="706"/>
        <w:gridCol w:w="673"/>
        <w:gridCol w:w="561"/>
        <w:gridCol w:w="561"/>
        <w:gridCol w:w="698"/>
        <w:gridCol w:w="699"/>
        <w:gridCol w:w="699"/>
        <w:gridCol w:w="699"/>
        <w:gridCol w:w="698"/>
        <w:gridCol w:w="699"/>
        <w:gridCol w:w="699"/>
        <w:gridCol w:w="699"/>
        <w:gridCol w:w="698"/>
        <w:gridCol w:w="699"/>
        <w:gridCol w:w="699"/>
        <w:gridCol w:w="699"/>
        <w:gridCol w:w="720"/>
        <w:gridCol w:w="526"/>
      </w:tblGrid>
      <w:tr>
        <w:tblPrEx>
          <w:tblLayout w:type="fixed"/>
          <w:tblCellMar>
            <w:top w:w="0" w:type="dxa"/>
            <w:left w:w="108" w:type="dxa"/>
            <w:bottom w:w="0" w:type="dxa"/>
            <w:right w:w="108" w:type="dxa"/>
          </w:tblCellMar>
        </w:tblPrEx>
        <w:trPr>
          <w:trHeight w:val="688" w:hRule="atLeast"/>
        </w:trPr>
        <w:tc>
          <w:tcPr>
            <w:tcW w:w="7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szCs w:val="21"/>
              </w:rPr>
              <w:t>序号</w:t>
            </w:r>
          </w:p>
        </w:tc>
        <w:tc>
          <w:tcPr>
            <w:tcW w:w="1133"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行政村</w:t>
            </w:r>
          </w:p>
        </w:tc>
        <w:tc>
          <w:tcPr>
            <w:tcW w:w="10886" w:type="dxa"/>
            <w:gridSpan w:val="16"/>
            <w:tcBorders>
              <w:top w:val="single" w:color="000000" w:sz="4" w:space="0"/>
              <w:left w:val="single" w:color="000000" w:sz="4" w:space="0"/>
              <w:bottom w:val="single" w:color="000000" w:sz="4" w:space="0"/>
              <w:right w:val="nil"/>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遴选申报参与项目实施区域种植作物的地膜覆盖试点面积（亩）</w:t>
            </w:r>
          </w:p>
        </w:tc>
        <w:tc>
          <w:tcPr>
            <w:tcW w:w="720"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szCs w:val="21"/>
              </w:rPr>
              <w:t>参与主体（农户）数量（个）</w:t>
            </w:r>
          </w:p>
        </w:tc>
        <w:tc>
          <w:tcPr>
            <w:tcW w:w="526" w:type="dxa"/>
            <w:vMerge w:val="restart"/>
            <w:tcBorders>
              <w:top w:val="single" w:color="000000" w:sz="4" w:space="0"/>
              <w:left w:val="single" w:color="auto"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备注</w:t>
            </w:r>
          </w:p>
        </w:tc>
      </w:tr>
      <w:tr>
        <w:tblPrEx>
          <w:tblLayout w:type="fixed"/>
          <w:tblCellMar>
            <w:top w:w="0" w:type="dxa"/>
            <w:left w:w="108" w:type="dxa"/>
            <w:bottom w:w="0" w:type="dxa"/>
            <w:right w:w="108" w:type="dxa"/>
          </w:tblCellMar>
        </w:tblPrEx>
        <w:trPr>
          <w:trHeight w:val="639" w:hRule="atLeast"/>
        </w:trPr>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1133" w:type="dxa"/>
            <w:vMerge w:val="continue"/>
            <w:tcBorders>
              <w:top w:val="single" w:color="000000" w:sz="4" w:space="0"/>
              <w:left w:val="nil"/>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13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合计</w:t>
            </w:r>
          </w:p>
        </w:tc>
        <w:tc>
          <w:tcPr>
            <w:tcW w:w="1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花生</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玉米</w:t>
            </w:r>
          </w:p>
        </w:tc>
        <w:tc>
          <w:tcPr>
            <w:tcW w:w="13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甘薯</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szCs w:val="21"/>
              </w:rPr>
              <w:t>马铃薯</w:t>
            </w:r>
          </w:p>
        </w:tc>
        <w:tc>
          <w:tcPr>
            <w:tcW w:w="13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青瓜、苦瓜等瓜类作物</w:t>
            </w:r>
          </w:p>
        </w:tc>
        <w:tc>
          <w:tcPr>
            <w:tcW w:w="1397"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辣椒、茄子等茄科作物</w:t>
            </w:r>
          </w:p>
        </w:tc>
        <w:tc>
          <w:tcPr>
            <w:tcW w:w="139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其他作物</w:t>
            </w:r>
          </w:p>
        </w:tc>
        <w:tc>
          <w:tcPr>
            <w:tcW w:w="720"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26" w:type="dxa"/>
            <w:vMerge w:val="continue"/>
            <w:tcBorders>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r>
      <w:tr>
        <w:tblPrEx>
          <w:tblLayout w:type="fixed"/>
          <w:tblCellMar>
            <w:top w:w="0" w:type="dxa"/>
            <w:left w:w="108" w:type="dxa"/>
            <w:bottom w:w="0" w:type="dxa"/>
            <w:right w:w="108" w:type="dxa"/>
          </w:tblCellMar>
        </w:tblPrEx>
        <w:trPr>
          <w:trHeight w:val="1823" w:hRule="atLeast"/>
        </w:trPr>
        <w:tc>
          <w:tcPr>
            <w:tcW w:w="7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1133" w:type="dxa"/>
            <w:vMerge w:val="continue"/>
            <w:tcBorders>
              <w:top w:val="single" w:color="000000" w:sz="4" w:space="0"/>
              <w:left w:val="nil"/>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706" w:type="dxa"/>
            <w:tcBorders>
              <w:top w:val="single" w:color="000000" w:sz="4" w:space="0"/>
              <w:left w:val="single" w:color="000000" w:sz="4" w:space="0"/>
              <w:bottom w:val="nil"/>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673" w:type="dxa"/>
            <w:tcBorders>
              <w:top w:val="single" w:color="000000" w:sz="4" w:space="0"/>
              <w:left w:val="single" w:color="000000" w:sz="4" w:space="0"/>
              <w:bottom w:val="nil"/>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全生物可降解农膜面积</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全生物可降解地膜面积</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全生物可降解地膜面积</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全生物可降解地膜面积</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全生物可降解地膜面积</w:t>
            </w:r>
          </w:p>
        </w:tc>
        <w:tc>
          <w:tcPr>
            <w:tcW w:w="699"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699" w:type="dxa"/>
            <w:tcBorders>
              <w:top w:val="single" w:color="000000" w:sz="4" w:space="0"/>
              <w:left w:val="single" w:color="auto" w:sz="4" w:space="0"/>
              <w:bottom w:val="single" w:color="000000" w:sz="4" w:space="0"/>
              <w:right w:val="single" w:color="auto"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全生物可降解地膜面积</w:t>
            </w:r>
          </w:p>
        </w:tc>
        <w:tc>
          <w:tcPr>
            <w:tcW w:w="699"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720"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26"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r>
      <w:tr>
        <w:tblPrEx>
          <w:tblLayout w:type="fixed"/>
          <w:tblCellMar>
            <w:top w:w="0" w:type="dxa"/>
            <w:left w:w="108" w:type="dxa"/>
            <w:bottom w:w="0" w:type="dxa"/>
            <w:right w:w="108" w:type="dxa"/>
          </w:tblCellMar>
        </w:tblPrEx>
        <w:trPr>
          <w:trHeight w:val="529" w:hRule="atLeast"/>
        </w:trPr>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1133" w:type="dxa"/>
            <w:tcBorders>
              <w:top w:val="single" w:color="000000" w:sz="4" w:space="0"/>
              <w:left w:val="nil"/>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auto"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auto" w:sz="4" w:space="0"/>
              <w:bottom w:val="single" w:color="000000" w:sz="4" w:space="0"/>
              <w:right w:val="single" w:color="auto"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720"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26"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r>
      <w:tr>
        <w:tblPrEx>
          <w:tblLayout w:type="fixed"/>
          <w:tblCellMar>
            <w:top w:w="0" w:type="dxa"/>
            <w:left w:w="108" w:type="dxa"/>
            <w:bottom w:w="0" w:type="dxa"/>
            <w:right w:w="108" w:type="dxa"/>
          </w:tblCellMar>
        </w:tblPrEx>
        <w:trPr>
          <w:trHeight w:val="564" w:hRule="atLeast"/>
        </w:trPr>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1133" w:type="dxa"/>
            <w:tcBorders>
              <w:top w:val="single" w:color="000000" w:sz="4" w:space="0"/>
              <w:left w:val="nil"/>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auto"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auto" w:sz="4" w:space="0"/>
              <w:bottom w:val="single" w:color="000000" w:sz="4" w:space="0"/>
              <w:right w:val="single" w:color="auto"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720"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26"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r>
      <w:tr>
        <w:tblPrEx>
          <w:tblLayout w:type="fixed"/>
          <w:tblCellMar>
            <w:top w:w="0" w:type="dxa"/>
            <w:left w:w="108" w:type="dxa"/>
            <w:bottom w:w="0" w:type="dxa"/>
            <w:right w:w="108" w:type="dxa"/>
          </w:tblCellMar>
        </w:tblPrEx>
        <w:trPr>
          <w:trHeight w:val="564" w:hRule="atLeast"/>
        </w:trPr>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1133" w:type="dxa"/>
            <w:tcBorders>
              <w:top w:val="single" w:color="000000" w:sz="4" w:space="0"/>
              <w:left w:val="nil"/>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auto"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auto" w:sz="4" w:space="0"/>
              <w:bottom w:val="single" w:color="000000" w:sz="4" w:space="0"/>
              <w:right w:val="single" w:color="auto"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720"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26"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r>
      <w:tr>
        <w:tblPrEx>
          <w:tblLayout w:type="fixed"/>
          <w:tblCellMar>
            <w:top w:w="0" w:type="dxa"/>
            <w:left w:w="108" w:type="dxa"/>
            <w:bottom w:w="0" w:type="dxa"/>
            <w:right w:w="108" w:type="dxa"/>
          </w:tblCellMar>
        </w:tblPrEx>
        <w:trPr>
          <w:trHeight w:val="564" w:hRule="atLeast"/>
        </w:trPr>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1133" w:type="dxa"/>
            <w:tcBorders>
              <w:top w:val="single" w:color="000000" w:sz="4" w:space="0"/>
              <w:left w:val="nil"/>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auto"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auto" w:sz="4" w:space="0"/>
              <w:bottom w:val="single" w:color="000000" w:sz="4" w:space="0"/>
              <w:right w:val="single" w:color="auto"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720"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26"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r>
      <w:tr>
        <w:tblPrEx>
          <w:tblLayout w:type="fixed"/>
          <w:tblCellMar>
            <w:top w:w="0" w:type="dxa"/>
            <w:left w:w="108" w:type="dxa"/>
            <w:bottom w:w="0" w:type="dxa"/>
            <w:right w:w="108" w:type="dxa"/>
          </w:tblCellMar>
        </w:tblPrEx>
        <w:trPr>
          <w:trHeight w:val="558" w:hRule="atLeast"/>
        </w:trPr>
        <w:tc>
          <w:tcPr>
            <w:tcW w:w="1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r>
              <w:rPr>
                <w:rFonts w:hint="eastAsia" w:ascii="仿宋" w:hAnsi="仿宋" w:eastAsia="仿宋" w:cs="仿宋"/>
                <w:color w:val="000000"/>
                <w:szCs w:val="21"/>
              </w:rPr>
              <w:t>合计</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000000" w:sz="4" w:space="0"/>
              <w:bottom w:val="single" w:color="000000" w:sz="4" w:space="0"/>
              <w:right w:val="single" w:color="auto"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auto" w:sz="4" w:space="0"/>
              <w:bottom w:val="single" w:color="000000" w:sz="4" w:space="0"/>
              <w:right w:val="single" w:color="auto"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699"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720"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c>
          <w:tcPr>
            <w:tcW w:w="526" w:type="dxa"/>
            <w:tcBorders>
              <w:top w:val="single" w:color="000000" w:sz="4" w:space="0"/>
              <w:left w:val="single" w:color="auto" w:sz="4" w:space="0"/>
              <w:bottom w:val="single" w:color="000000" w:sz="4" w:space="0"/>
              <w:right w:val="single" w:color="000000" w:sz="4" w:space="0"/>
            </w:tcBorders>
            <w:shd w:val="clear" w:color="auto" w:fill="auto"/>
            <w:vAlign w:val="center"/>
          </w:tcPr>
          <w:p>
            <w:pPr>
              <w:ind w:left="-63" w:leftChars="-30" w:right="-63" w:rightChars="-30"/>
              <w:jc w:val="center"/>
              <w:rPr>
                <w:rFonts w:ascii="仿宋" w:hAnsi="仿宋" w:eastAsia="仿宋" w:cs="仿宋"/>
                <w:color w:val="000000"/>
                <w:szCs w:val="21"/>
              </w:rPr>
            </w:pPr>
          </w:p>
        </w:tc>
      </w:tr>
    </w:tbl>
    <w:p>
      <w:pPr>
        <w:spacing w:line="360" w:lineRule="auto"/>
        <w:ind w:firstLine="630" w:firstLineChars="300"/>
        <w:jc w:val="left"/>
        <w:rPr>
          <w:rFonts w:ascii="仿宋" w:hAnsi="仿宋" w:eastAsia="仿宋" w:cs="仿宋"/>
          <w:color w:val="000000"/>
          <w:kern w:val="0"/>
          <w:szCs w:val="21"/>
          <w:lang w:bidi="ar"/>
        </w:rPr>
      </w:pPr>
      <w:r>
        <w:rPr>
          <w:rFonts w:hint="eastAsia" w:ascii="仿宋" w:hAnsi="仿宋" w:eastAsia="仿宋" w:cs="仿宋"/>
          <w:color w:val="000000"/>
          <w:kern w:val="0"/>
          <w:szCs w:val="21"/>
          <w:lang w:bidi="ar"/>
        </w:rPr>
        <w:t xml:space="preserve">填报人签字：                                                                            农办主任（意见）签字：      </w:t>
      </w:r>
    </w:p>
    <w:p>
      <w:pPr>
        <w:spacing w:line="360" w:lineRule="auto"/>
        <w:jc w:val="left"/>
        <w:rPr>
          <w:rFonts w:hint="eastAsia" w:ascii="方正黑体简体" w:hAnsi="仿宋" w:eastAsia="方正黑体简体" w:cs="仿宋"/>
          <w:bCs/>
          <w:sz w:val="32"/>
          <w:szCs w:val="32"/>
          <w:lang w:val="en-US" w:eastAsia="zh-CN"/>
        </w:rPr>
      </w:pPr>
      <w:r>
        <w:rPr>
          <w:rFonts w:hint="eastAsia" w:asciiTheme="minorEastAsia" w:hAnsiTheme="minorEastAsia" w:eastAsiaTheme="minorEastAsia" w:cstheme="minorEastAsia"/>
          <w:bCs/>
          <w:sz w:val="32"/>
          <w:szCs w:val="32"/>
        </w:rPr>
        <w:t>附件</w:t>
      </w:r>
      <w:r>
        <w:rPr>
          <w:rFonts w:hint="eastAsia" w:asciiTheme="minorEastAsia" w:hAnsiTheme="minorEastAsia" w:eastAsiaTheme="minorEastAsia" w:cstheme="minorEastAsia"/>
          <w:bCs/>
          <w:sz w:val="32"/>
          <w:szCs w:val="32"/>
          <w:lang w:val="en-US" w:eastAsia="zh-CN"/>
        </w:rPr>
        <w:t>3</w:t>
      </w:r>
    </w:p>
    <w:p>
      <w:pPr>
        <w:spacing w:line="360" w:lineRule="auto"/>
        <w:jc w:val="center"/>
        <w:rPr>
          <w:rFonts w:hint="eastAsia" w:ascii="方正公文小标宋" w:hAnsi="仿宋" w:eastAsia="方正公文小标宋" w:cs="仿宋"/>
          <w:color w:val="000000"/>
          <w:kern w:val="0"/>
          <w:sz w:val="44"/>
          <w:szCs w:val="44"/>
          <w:lang w:val="en-US" w:eastAsia="zh-CN" w:bidi="ar"/>
        </w:rPr>
      </w:pPr>
      <w:r>
        <w:rPr>
          <w:rFonts w:hint="eastAsia" w:ascii="方正公文小标宋" w:hAnsi="仿宋" w:eastAsia="方正公文小标宋" w:cs="仿宋"/>
          <w:color w:val="000000"/>
          <w:kern w:val="0"/>
          <w:sz w:val="44"/>
          <w:szCs w:val="44"/>
          <w:lang w:bidi="ar"/>
        </w:rPr>
        <w:t>开平市地膜科学使用回收试点项目遴选申报</w:t>
      </w:r>
      <w:r>
        <w:rPr>
          <w:rFonts w:hint="eastAsia" w:ascii="方正公文小标宋" w:hAnsi="仿宋" w:eastAsia="方正公文小标宋" w:cs="仿宋"/>
          <w:color w:val="000000"/>
          <w:kern w:val="0"/>
          <w:sz w:val="44"/>
          <w:szCs w:val="44"/>
          <w:lang w:val="en-US" w:eastAsia="zh-CN" w:bidi="ar"/>
        </w:rPr>
        <w:t>表</w:t>
      </w:r>
    </w:p>
    <w:p>
      <w:pPr>
        <w:spacing w:line="360" w:lineRule="auto"/>
        <w:jc w:val="left"/>
        <w:rPr>
          <w:rFonts w:ascii="仿宋" w:hAnsi="仿宋" w:eastAsia="仿宋" w:cs="仿宋"/>
          <w:sz w:val="28"/>
          <w:szCs w:val="28"/>
        </w:rPr>
      </w:pPr>
      <w:r>
        <w:rPr>
          <w:rFonts w:hint="eastAsia" w:ascii="仿宋" w:hAnsi="仿宋" w:eastAsia="仿宋" w:cs="仿宋"/>
          <w:sz w:val="28"/>
          <w:szCs w:val="28"/>
          <w:lang w:val="en-US" w:eastAsia="zh-CN"/>
        </w:rPr>
        <w:t>申报主体</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填报日期：      年   月   日</w:t>
      </w:r>
    </w:p>
    <w:tbl>
      <w:tblPr>
        <w:tblStyle w:val="7"/>
        <w:tblW w:w="14174" w:type="dxa"/>
        <w:tblInd w:w="0" w:type="dxa"/>
        <w:tblLayout w:type="fixed"/>
        <w:tblCellMar>
          <w:top w:w="0" w:type="dxa"/>
          <w:left w:w="108" w:type="dxa"/>
          <w:bottom w:w="0" w:type="dxa"/>
          <w:right w:w="108" w:type="dxa"/>
        </w:tblCellMar>
      </w:tblPr>
      <w:tblGrid>
        <w:gridCol w:w="582"/>
        <w:gridCol w:w="769"/>
        <w:gridCol w:w="896"/>
        <w:gridCol w:w="672"/>
        <w:gridCol w:w="556"/>
        <w:gridCol w:w="553"/>
        <w:gridCol w:w="695"/>
        <w:gridCol w:w="556"/>
        <w:gridCol w:w="556"/>
        <w:gridCol w:w="695"/>
        <w:gridCol w:w="556"/>
        <w:gridCol w:w="556"/>
        <w:gridCol w:w="556"/>
        <w:gridCol w:w="692"/>
        <w:gridCol w:w="556"/>
        <w:gridCol w:w="556"/>
        <w:gridCol w:w="695"/>
        <w:gridCol w:w="556"/>
        <w:gridCol w:w="703"/>
        <w:gridCol w:w="1248"/>
        <w:gridCol w:w="970"/>
      </w:tblGrid>
      <w:tr>
        <w:tblPrEx>
          <w:tblLayout w:type="fixed"/>
          <w:tblCellMar>
            <w:top w:w="0" w:type="dxa"/>
            <w:left w:w="108" w:type="dxa"/>
            <w:bottom w:w="0" w:type="dxa"/>
            <w:right w:w="108" w:type="dxa"/>
          </w:tblCellMar>
        </w:tblPrEx>
        <w:trPr>
          <w:trHeight w:val="587" w:hRule="atLeast"/>
        </w:trPr>
        <w:tc>
          <w:tcPr>
            <w:tcW w:w="582"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序号</w:t>
            </w:r>
          </w:p>
        </w:tc>
        <w:tc>
          <w:tcPr>
            <w:tcW w:w="769"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村别（**村委会**村））</w:t>
            </w:r>
          </w:p>
        </w:tc>
        <w:tc>
          <w:tcPr>
            <w:tcW w:w="8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遴选申报参与农户姓名</w:t>
            </w:r>
          </w:p>
        </w:tc>
        <w:tc>
          <w:tcPr>
            <w:tcW w:w="9709" w:type="dxa"/>
            <w:gridSpan w:val="16"/>
            <w:tcBorders>
              <w:top w:val="single" w:color="000000" w:sz="4" w:space="0"/>
              <w:left w:val="single" w:color="000000" w:sz="4" w:space="0"/>
              <w:bottom w:val="single" w:color="000000" w:sz="4" w:space="0"/>
              <w:right w:val="nil"/>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遴选申报参与项目实施区域种植作物的地膜覆盖试点面积（亩）</w:t>
            </w:r>
          </w:p>
        </w:tc>
        <w:tc>
          <w:tcPr>
            <w:tcW w:w="1248" w:type="dxa"/>
            <w:vMerge w:val="restart"/>
            <w:tcBorders>
              <w:top w:val="single" w:color="000000" w:sz="4" w:space="0"/>
              <w:left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联系电话</w:t>
            </w:r>
          </w:p>
        </w:tc>
        <w:tc>
          <w:tcPr>
            <w:tcW w:w="970" w:type="dxa"/>
            <w:vMerge w:val="restart"/>
            <w:tcBorders>
              <w:top w:val="single" w:color="000000" w:sz="4" w:space="0"/>
              <w:left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bidi="ar"/>
              </w:rPr>
              <w:t>遴选申报参与农户签字</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val="en-US" w:eastAsia="zh-CN" w:bidi="ar"/>
              </w:rPr>
              <w:t>指模</w:t>
            </w:r>
            <w:r>
              <w:rPr>
                <w:rFonts w:hint="eastAsia" w:ascii="仿宋" w:hAnsi="仿宋" w:eastAsia="仿宋" w:cs="仿宋"/>
                <w:color w:val="000000"/>
                <w:kern w:val="0"/>
                <w:szCs w:val="21"/>
                <w:lang w:eastAsia="zh-CN" w:bidi="ar"/>
              </w:rPr>
              <w:t>）</w:t>
            </w:r>
          </w:p>
        </w:tc>
      </w:tr>
      <w:tr>
        <w:tblPrEx>
          <w:tblLayout w:type="fixed"/>
          <w:tblCellMar>
            <w:top w:w="0" w:type="dxa"/>
            <w:left w:w="108" w:type="dxa"/>
            <w:bottom w:w="0" w:type="dxa"/>
            <w:right w:w="108" w:type="dxa"/>
          </w:tblCellMar>
        </w:tblPrEx>
        <w:trPr>
          <w:trHeight w:val="434" w:hRule="atLeast"/>
        </w:trPr>
        <w:tc>
          <w:tcPr>
            <w:tcW w:w="582"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769"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8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12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合计</w:t>
            </w:r>
          </w:p>
        </w:tc>
        <w:tc>
          <w:tcPr>
            <w:tcW w:w="1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花生</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玉米</w:t>
            </w:r>
          </w:p>
        </w:tc>
        <w:tc>
          <w:tcPr>
            <w:tcW w:w="12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甘薯</w:t>
            </w:r>
          </w:p>
        </w:tc>
        <w:tc>
          <w:tcPr>
            <w:tcW w:w="1112"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szCs w:val="21"/>
              </w:rPr>
              <w:t>马铃薯</w:t>
            </w:r>
          </w:p>
        </w:tc>
        <w:tc>
          <w:tcPr>
            <w:tcW w:w="124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青瓜、苦瓜等瓜类作物</w:t>
            </w:r>
          </w:p>
        </w:tc>
        <w:tc>
          <w:tcPr>
            <w:tcW w:w="12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辣椒、茄子等茄科作物</w:t>
            </w:r>
          </w:p>
        </w:tc>
        <w:tc>
          <w:tcPr>
            <w:tcW w:w="12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其他作物</w:t>
            </w:r>
          </w:p>
        </w:tc>
        <w:tc>
          <w:tcPr>
            <w:tcW w:w="1248" w:type="dxa"/>
            <w:vMerge w:val="continue"/>
            <w:tcBorders>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970" w:type="dxa"/>
            <w:vMerge w:val="continue"/>
            <w:tcBorders>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r>
      <w:tr>
        <w:tblPrEx>
          <w:tblLayout w:type="fixed"/>
          <w:tblCellMar>
            <w:top w:w="0" w:type="dxa"/>
            <w:left w:w="108" w:type="dxa"/>
            <w:bottom w:w="0" w:type="dxa"/>
            <w:right w:w="108" w:type="dxa"/>
          </w:tblCellMar>
        </w:tblPrEx>
        <w:trPr>
          <w:trHeight w:val="1567" w:hRule="atLeast"/>
        </w:trPr>
        <w:tc>
          <w:tcPr>
            <w:tcW w:w="582"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769"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8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672" w:type="dxa"/>
            <w:tcBorders>
              <w:top w:val="single" w:color="000000" w:sz="4" w:space="0"/>
              <w:left w:val="single" w:color="000000" w:sz="4" w:space="0"/>
              <w:bottom w:val="nil"/>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556" w:type="dxa"/>
            <w:tcBorders>
              <w:top w:val="single" w:color="000000" w:sz="4" w:space="0"/>
              <w:left w:val="single" w:color="000000" w:sz="4" w:space="0"/>
              <w:bottom w:val="nil"/>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全生物可降解农膜面积</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全生物可降解地膜面积</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全生物可降解地膜面积</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全生物可降解地膜面积</w:t>
            </w:r>
          </w:p>
        </w:tc>
        <w:tc>
          <w:tcPr>
            <w:tcW w:w="556"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556"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全生物可降解地膜面积</w:t>
            </w:r>
          </w:p>
        </w:tc>
        <w:tc>
          <w:tcPr>
            <w:tcW w:w="692"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全生物可降解地膜面积</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全生物可降解地膜面积</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加厚高强度地膜面积</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全生物可降解地膜面积</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r>
      <w:tr>
        <w:tblPrEx>
          <w:tblLayout w:type="fixed"/>
          <w:tblCellMar>
            <w:top w:w="0" w:type="dxa"/>
            <w:left w:w="108" w:type="dxa"/>
            <w:bottom w:w="0" w:type="dxa"/>
            <w:right w:w="108" w:type="dxa"/>
          </w:tblCellMar>
        </w:tblPrEx>
        <w:trPr>
          <w:trHeight w:val="531" w:hRule="atLeast"/>
        </w:trPr>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692"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rPr>
                <w:rFonts w:ascii="仿宋" w:hAnsi="仿宋" w:eastAsia="仿宋" w:cs="仿宋"/>
                <w:color w:val="000000"/>
                <w:szCs w:val="21"/>
              </w:rPr>
            </w:pPr>
          </w:p>
        </w:tc>
      </w:tr>
      <w:tr>
        <w:tblPrEx>
          <w:tblLayout w:type="fixed"/>
          <w:tblCellMar>
            <w:top w:w="0" w:type="dxa"/>
            <w:left w:w="108" w:type="dxa"/>
            <w:bottom w:w="0" w:type="dxa"/>
            <w:right w:w="108" w:type="dxa"/>
          </w:tblCellMar>
        </w:tblPrEx>
        <w:trPr>
          <w:trHeight w:val="531" w:hRule="atLeast"/>
        </w:trPr>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692"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left"/>
              <w:rPr>
                <w:rFonts w:ascii="仿宋" w:hAnsi="仿宋" w:eastAsia="仿宋" w:cs="仿宋"/>
                <w:color w:val="000000"/>
                <w:szCs w:val="21"/>
              </w:rPr>
            </w:pPr>
          </w:p>
        </w:tc>
      </w:tr>
      <w:tr>
        <w:tblPrEx>
          <w:tblLayout w:type="fixed"/>
          <w:tblCellMar>
            <w:top w:w="0" w:type="dxa"/>
            <w:left w:w="108" w:type="dxa"/>
            <w:bottom w:w="0" w:type="dxa"/>
            <w:right w:w="108" w:type="dxa"/>
          </w:tblCellMar>
        </w:tblPrEx>
        <w:trPr>
          <w:trHeight w:val="531" w:hRule="atLeast"/>
        </w:trPr>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3</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692"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rPr>
                <w:rFonts w:ascii="仿宋" w:hAnsi="仿宋" w:eastAsia="仿宋" w:cs="仿宋"/>
                <w:color w:val="000000"/>
                <w:szCs w:val="21"/>
              </w:rPr>
            </w:pPr>
          </w:p>
        </w:tc>
      </w:tr>
      <w:tr>
        <w:tblPrEx>
          <w:tblLayout w:type="fixed"/>
          <w:tblCellMar>
            <w:top w:w="0" w:type="dxa"/>
            <w:left w:w="108" w:type="dxa"/>
            <w:bottom w:w="0" w:type="dxa"/>
            <w:right w:w="108" w:type="dxa"/>
          </w:tblCellMar>
        </w:tblPrEx>
        <w:trPr>
          <w:trHeight w:val="531" w:hRule="atLeast"/>
        </w:trPr>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4</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auto"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auto"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692"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r>
      <w:tr>
        <w:tblPrEx>
          <w:tblLayout w:type="fixed"/>
          <w:tblCellMar>
            <w:top w:w="0" w:type="dxa"/>
            <w:left w:w="108" w:type="dxa"/>
            <w:bottom w:w="0" w:type="dxa"/>
            <w:right w:w="108" w:type="dxa"/>
          </w:tblCellMar>
        </w:tblPrEx>
        <w:trPr>
          <w:trHeight w:val="531" w:hRule="atLeast"/>
        </w:trPr>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63" w:leftChars="-30" w:right="-63" w:rightChars="-30"/>
              <w:jc w:val="center"/>
              <w:textAlignment w:val="center"/>
              <w:rPr>
                <w:rFonts w:hint="eastAsia" w:ascii="仿宋" w:hAnsi="仿宋" w:eastAsia="仿宋" w:cs="仿宋"/>
                <w:color w:val="000000"/>
                <w:kern w:val="0"/>
                <w:szCs w:val="21"/>
                <w:lang w:val="en-US" w:eastAsia="zh-CN" w:bidi="ar"/>
              </w:rPr>
            </w:pPr>
            <w:r>
              <w:rPr>
                <w:rFonts w:hint="eastAsia" w:ascii="仿宋" w:hAnsi="仿宋" w:eastAsia="仿宋" w:cs="仿宋"/>
                <w:color w:val="000000"/>
                <w:kern w:val="0"/>
                <w:szCs w:val="21"/>
                <w:lang w:val="en-US" w:eastAsia="zh-CN" w:bidi="ar"/>
              </w:rPr>
              <w:t>5</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auto"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auto"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692"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left="-63" w:leftChars="-30" w:right="-63" w:rightChars="-30"/>
              <w:jc w:val="center"/>
              <w:rPr>
                <w:rFonts w:ascii="仿宋" w:hAnsi="仿宋" w:eastAsia="仿宋" w:cs="仿宋"/>
                <w:color w:val="000000"/>
                <w:szCs w:val="21"/>
              </w:rPr>
            </w:pPr>
          </w:p>
        </w:tc>
      </w:tr>
    </w:tbl>
    <w:p>
      <w:pPr>
        <w:spacing w:line="360" w:lineRule="auto"/>
        <w:jc w:val="left"/>
      </w:pPr>
      <w:r>
        <w:rPr>
          <w:rFonts w:hint="eastAsia"/>
        </w:rPr>
        <w:t>注：</w:t>
      </w:r>
      <w:r>
        <w:rPr>
          <w:rFonts w:hint="eastAsia"/>
          <w:lang w:val="en-US" w:eastAsia="zh-CN"/>
        </w:rPr>
        <w:t>1此表需要村委会盖章确认资料无误。2.</w:t>
      </w:r>
      <w:r>
        <w:rPr>
          <w:rFonts w:hint="eastAsia"/>
        </w:rPr>
        <w:t>由于不同作物所需的覆膜宽度不同如种植作物为其他作物应注明具体作物名称。</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宋体-简">
    <w:altName w:val="宋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公文小标宋">
    <w:altName w:val="宋体"/>
    <w:panose1 w:val="00000000000000000000"/>
    <w:charset w:val="86"/>
    <w:family w:val="auto"/>
    <w:pitch w:val="default"/>
    <w:sig w:usb0="00000000" w:usb1="00000000" w:usb2="00000010" w:usb3="00000000" w:csb0="00040000" w:csb1="00000000"/>
  </w:font>
  <w:font w:name="方正黑体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5F5B"/>
    <w:multiLevelType w:val="singleLevel"/>
    <w:tmpl w:val="CF655F5B"/>
    <w:lvl w:ilvl="0" w:tentative="0">
      <w:start w:val="1"/>
      <w:numFmt w:val="chineseCounting"/>
      <w:suff w:val="nothing"/>
      <w:lvlText w:val="%1、"/>
      <w:lvlJc w:val="left"/>
      <w:rPr>
        <w:rFonts w:hint="eastAsia"/>
      </w:rPr>
    </w:lvl>
  </w:abstractNum>
  <w:abstractNum w:abstractNumId="1">
    <w:nsid w:val="432ED59A"/>
    <w:multiLevelType w:val="singleLevel"/>
    <w:tmpl w:val="432ED59A"/>
    <w:lvl w:ilvl="0" w:tentative="0">
      <w:start w:val="5"/>
      <w:numFmt w:val="chineseCounting"/>
      <w:suff w:val="nothing"/>
      <w:lvlText w:val="%1、"/>
      <w:lvlJc w:val="left"/>
      <w:rPr>
        <w:rFonts w:hint="eastAsia"/>
      </w:rPr>
    </w:lvl>
  </w:abstractNum>
  <w:abstractNum w:abstractNumId="2">
    <w:nsid w:val="5E5B888B"/>
    <w:multiLevelType w:val="multilevel"/>
    <w:tmpl w:val="5E5B888B"/>
    <w:lvl w:ilvl="0" w:tentative="0">
      <w:start w:val="1"/>
      <w:numFmt w:val="decimal"/>
      <w:lvlText w:val="%1"/>
      <w:lvlJc w:val="left"/>
      <w:pPr>
        <w:tabs>
          <w:tab w:val="left" w:pos="432"/>
        </w:tabs>
        <w:ind w:left="432" w:hanging="432"/>
      </w:pPr>
      <w:rPr>
        <w:rFonts w:hint="eastAsia"/>
      </w:rPr>
    </w:lvl>
    <w:lvl w:ilvl="1" w:tentative="0">
      <w:start w:val="1"/>
      <w:numFmt w:val="decimal"/>
      <w:lvlText w:val="%2."/>
      <w:lvlJc w:val="left"/>
      <w:pPr>
        <w:tabs>
          <w:tab w:val="left" w:pos="576"/>
        </w:tabs>
        <w:ind w:left="576" w:hanging="576"/>
      </w:pPr>
      <w:rPr>
        <w:rFonts w:hint="eastAsia"/>
      </w:rPr>
    </w:lvl>
    <w:lvl w:ilvl="2" w:tentative="0">
      <w:start w:val="1"/>
      <w:numFmt w:val="decimal"/>
      <w:lvlText w:val="%1.%2.%3"/>
      <w:lvlJc w:val="left"/>
      <w:pPr>
        <w:tabs>
          <w:tab w:val="left" w:pos="720"/>
        </w:tabs>
        <w:ind w:left="720" w:hanging="720"/>
      </w:pPr>
      <w:rPr>
        <w:rFonts w:hint="eastAsia"/>
        <w:b/>
      </w:rPr>
    </w:lvl>
    <w:lvl w:ilvl="3" w:tentative="0">
      <w:start w:val="1"/>
      <w:numFmt w:val="decimal"/>
      <w:pStyle w:val="3"/>
      <w:lvlText w:val="%1.%2.%3.%4"/>
      <w:lvlJc w:val="left"/>
      <w:pPr>
        <w:tabs>
          <w:tab w:val="left" w:pos="864"/>
        </w:tabs>
        <w:ind w:left="864" w:hanging="864"/>
      </w:pPr>
      <w:rPr>
        <w:rFonts w:hint="eastAsia"/>
        <w:b w:val="0"/>
        <w:i w:val="0"/>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5ZGQxZTFhYjkzNTdmYzhhYTgyY2M5Zjc4ZjMwNDcifQ=="/>
    <w:docVar w:name="KSO_WPS_MARK_KEY" w:val="b04becb7-ed24-47e6-8565-ad70891a0183"/>
  </w:docVars>
  <w:rsids>
    <w:rsidRoot w:val="000D20BF"/>
    <w:rsid w:val="000D20BF"/>
    <w:rsid w:val="00287756"/>
    <w:rsid w:val="003D386C"/>
    <w:rsid w:val="0181528D"/>
    <w:rsid w:val="025A4D73"/>
    <w:rsid w:val="068F0FEF"/>
    <w:rsid w:val="06C47189"/>
    <w:rsid w:val="0B473A92"/>
    <w:rsid w:val="0FC85F94"/>
    <w:rsid w:val="114A38D8"/>
    <w:rsid w:val="189027D1"/>
    <w:rsid w:val="1A8A4F39"/>
    <w:rsid w:val="1BD060BA"/>
    <w:rsid w:val="1D7109F8"/>
    <w:rsid w:val="1D7B5E67"/>
    <w:rsid w:val="1ECC3BDC"/>
    <w:rsid w:val="1ED52542"/>
    <w:rsid w:val="1F1D440C"/>
    <w:rsid w:val="210577D0"/>
    <w:rsid w:val="251E091D"/>
    <w:rsid w:val="27653C19"/>
    <w:rsid w:val="279A36DD"/>
    <w:rsid w:val="296F5D2E"/>
    <w:rsid w:val="299B7DC6"/>
    <w:rsid w:val="2A6655AE"/>
    <w:rsid w:val="2BEB72AF"/>
    <w:rsid w:val="2CF702A0"/>
    <w:rsid w:val="3307402E"/>
    <w:rsid w:val="355B7F36"/>
    <w:rsid w:val="374F7384"/>
    <w:rsid w:val="3BA7084C"/>
    <w:rsid w:val="3DD13A09"/>
    <w:rsid w:val="401069C0"/>
    <w:rsid w:val="425951D5"/>
    <w:rsid w:val="46FD2DC4"/>
    <w:rsid w:val="47AC1D18"/>
    <w:rsid w:val="481F41E0"/>
    <w:rsid w:val="495D3364"/>
    <w:rsid w:val="4B8A0208"/>
    <w:rsid w:val="4D924EB8"/>
    <w:rsid w:val="4E261AA5"/>
    <w:rsid w:val="4EAB3637"/>
    <w:rsid w:val="4F0C6A86"/>
    <w:rsid w:val="4F7637D2"/>
    <w:rsid w:val="52A10EDD"/>
    <w:rsid w:val="545A25C3"/>
    <w:rsid w:val="54801B97"/>
    <w:rsid w:val="57142F09"/>
    <w:rsid w:val="58DE2023"/>
    <w:rsid w:val="597B042A"/>
    <w:rsid w:val="59E80CC5"/>
    <w:rsid w:val="5BFD1273"/>
    <w:rsid w:val="5E02748A"/>
    <w:rsid w:val="66974E96"/>
    <w:rsid w:val="6C4E0B51"/>
    <w:rsid w:val="6C9F29D1"/>
    <w:rsid w:val="6CAD0F6F"/>
    <w:rsid w:val="72500439"/>
    <w:rsid w:val="74140AD6"/>
    <w:rsid w:val="76811D38"/>
    <w:rsid w:val="76AA0C71"/>
    <w:rsid w:val="777F175A"/>
    <w:rsid w:val="78647A24"/>
    <w:rsid w:val="7BAB0D70"/>
    <w:rsid w:val="7C2E374F"/>
    <w:rsid w:val="7FD62F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widowControl/>
      <w:spacing w:line="415" w:lineRule="auto"/>
      <w:outlineLvl w:val="1"/>
    </w:pPr>
    <w:rPr>
      <w:rFonts w:ascii="Calibri Light" w:hAnsi="Calibri Light" w:cs="宋体"/>
      <w:b/>
      <w:bCs/>
      <w:kern w:val="0"/>
      <w:sz w:val="32"/>
      <w:szCs w:val="32"/>
    </w:rPr>
  </w:style>
  <w:style w:type="paragraph" w:styleId="3">
    <w:name w:val="heading 4"/>
    <w:basedOn w:val="1"/>
    <w:next w:val="1"/>
    <w:unhideWhenUsed/>
    <w:qFormat/>
    <w:uiPriority w:val="0"/>
    <w:pPr>
      <w:keepNext/>
      <w:keepLines/>
      <w:numPr>
        <w:ilvl w:val="3"/>
        <w:numId w:val="1"/>
      </w:numPr>
      <w:outlineLvl w:val="3"/>
    </w:pPr>
    <w:rPr>
      <w:rFonts w:ascii="Arial" w:hAnsi="Arial" w:eastAsia="宋体-简"/>
    </w:rPr>
  </w:style>
  <w:style w:type="character" w:default="1" w:styleId="9">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0">
    <w:name w:val="Body text|1"/>
    <w:basedOn w:val="1"/>
    <w:qFormat/>
    <w:uiPriority w:val="0"/>
    <w:pPr>
      <w:spacing w:after="180"/>
    </w:pPr>
    <w:rPr>
      <w:rFonts w:ascii="宋体" w:hAnsi="宋体" w:eastAsia="宋体" w:cs="宋体"/>
      <w:sz w:val="30"/>
      <w:szCs w:val="30"/>
      <w:lang w:val="zh-TW" w:eastAsia="zh-TW" w:bidi="zh-TW"/>
    </w:rPr>
  </w:style>
  <w:style w:type="character" w:customStyle="1" w:styleId="11">
    <w:name w:val="font31"/>
    <w:basedOn w:val="9"/>
    <w:qFormat/>
    <w:uiPriority w:val="0"/>
    <w:rPr>
      <w:rFonts w:hint="eastAsia" w:ascii="宋体" w:hAnsi="宋体" w:eastAsia="宋体" w:cs="宋体"/>
      <w:color w:val="FF0000"/>
      <w:sz w:val="22"/>
      <w:szCs w:val="22"/>
      <w:u w:val="none"/>
    </w:rPr>
  </w:style>
  <w:style w:type="character" w:customStyle="1" w:styleId="12">
    <w:name w:val="font41"/>
    <w:basedOn w:val="9"/>
    <w:qFormat/>
    <w:uiPriority w:val="0"/>
    <w:rPr>
      <w:rFonts w:hint="eastAsia" w:ascii="宋体" w:hAnsi="宋体" w:eastAsia="宋体" w:cs="宋体"/>
      <w:color w:val="000000"/>
      <w:sz w:val="22"/>
      <w:szCs w:val="22"/>
      <w:u w:val="none"/>
    </w:rPr>
  </w:style>
  <w:style w:type="character" w:customStyle="1" w:styleId="13">
    <w:name w:val="font01"/>
    <w:basedOn w:val="9"/>
    <w:qFormat/>
    <w:uiPriority w:val="0"/>
    <w:rPr>
      <w:rFonts w:hint="eastAsia" w:ascii="宋体" w:hAnsi="宋体" w:eastAsia="宋体" w:cs="宋体"/>
      <w:color w:val="000000"/>
      <w:sz w:val="22"/>
      <w:szCs w:val="22"/>
      <w:u w:val="none"/>
    </w:rPr>
  </w:style>
  <w:style w:type="character" w:customStyle="1" w:styleId="14">
    <w:name w:val="font11"/>
    <w:basedOn w:val="9"/>
    <w:qFormat/>
    <w:uiPriority w:val="0"/>
    <w:rPr>
      <w:rFonts w:hint="eastAsia" w:ascii="宋体" w:hAnsi="宋体" w:eastAsia="宋体" w:cs="宋体"/>
      <w:color w:val="000000"/>
      <w:sz w:val="36"/>
      <w:szCs w:val="36"/>
      <w:u w:val="none"/>
    </w:rPr>
  </w:style>
  <w:style w:type="character" w:customStyle="1" w:styleId="15">
    <w:name w:val="font71"/>
    <w:basedOn w:val="9"/>
    <w:qFormat/>
    <w:uiPriority w:val="0"/>
    <w:rPr>
      <w:rFonts w:hint="eastAsia" w:ascii="宋体" w:hAnsi="宋体" w:eastAsia="宋体" w:cs="宋体"/>
      <w:color w:val="000000"/>
      <w:sz w:val="36"/>
      <w:szCs w:val="36"/>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C9FCCB-88D8-4F59-856F-E447778BA112}">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10</Pages>
  <Words>4280</Words>
  <Characters>4399</Characters>
  <Lines>35</Lines>
  <Paragraphs>10</Paragraphs>
  <TotalTime>17</TotalTime>
  <ScaleCrop>false</ScaleCrop>
  <LinksUpToDate>false</LinksUpToDate>
  <CharactersWithSpaces>4610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2024-07-11T00:37:00Z</dcterms:created>
  <dc:creator>Administrator</dc:creator>
  <cp:lastModifiedBy>suannai</cp:lastModifiedBy>
  <cp:lastPrinted>2024-05-17T00:44:00Z</cp:lastPrinted>
  <dcterms:modified xsi:type="dcterms:W3CDTF">2024-09-10T01:51:01Z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y fmtid="{D5CDD505-2E9C-101B-9397-08002B2CF9AE}" pid="3" name="ICV">
    <vt:lpwstr>B9214309DAA64092A5CF6445EBAB5D4D_13</vt:lpwstr>
  </property>
</Properties>
</file>