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黑体" w:hAnsi="黑体" w:eastAsia="黑体" w:cs="仿宋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 w:cs="仿宋"/>
          <w:color w:val="auto"/>
          <w:sz w:val="32"/>
          <w:szCs w:val="32"/>
          <w:highlight w:val="none"/>
        </w:rPr>
        <w:t>附件3</w:t>
      </w:r>
    </w:p>
    <w:p>
      <w:pPr>
        <w:snapToGrid w:val="0"/>
        <w:spacing w:line="560" w:lineRule="exact"/>
        <w:rPr>
          <w:rFonts w:ascii="黑体" w:hAnsi="黑体" w:eastAsia="黑体" w:cs="仿宋"/>
          <w:color w:val="auto"/>
          <w:sz w:val="32"/>
          <w:szCs w:val="32"/>
          <w:highlight w:val="none"/>
        </w:rPr>
      </w:pPr>
    </w:p>
    <w:p>
      <w:pPr>
        <w:snapToGrid w:val="0"/>
        <w:spacing w:line="560" w:lineRule="exact"/>
        <w:jc w:val="center"/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 w:cs="华光大标宋_CNKI"/>
          <w:color w:val="auto"/>
          <w:sz w:val="44"/>
          <w:szCs w:val="44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方正小标宋简体" w:hAnsi="仿宋" w:eastAsia="方正小标宋简体" w:cs="华光大标宋_CNKI"/>
          <w:bCs/>
          <w:color w:val="auto"/>
          <w:sz w:val="44"/>
          <w:szCs w:val="44"/>
          <w:highlight w:val="none"/>
        </w:rPr>
        <w:t>实施主体</w:t>
      </w:r>
      <w:r>
        <w:rPr>
          <w:rFonts w:hint="eastAsia" w:ascii="方正小标宋简体" w:hAnsi="方正小标宋_GBK" w:eastAsia="方正小标宋简体" w:cs="方正小标宋_GBK"/>
          <w:color w:val="auto"/>
          <w:sz w:val="44"/>
          <w:szCs w:val="44"/>
          <w:highlight w:val="none"/>
        </w:rPr>
        <w:t>服务工作程序</w:t>
      </w:r>
    </w:p>
    <w:bookmarkEnd w:id="0"/>
    <w:p>
      <w:pPr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一、服务作业程序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（一）上报计划名单。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按市农业综合服务中心的时间要求，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项目实施主体将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《开平市2024年中央农业防灾减灾和水利救灾资金（防灾救灾第三批）—水稻病虫害统防统治项目服务对象计划名单》（附件3-1）填好并</w:t>
      </w:r>
      <w:r>
        <w:rPr>
          <w:rFonts w:ascii="仿宋" w:hAnsi="仿宋" w:eastAsia="仿宋" w:cs="仿宋"/>
          <w:bCs/>
          <w:color w:val="auto"/>
          <w:sz w:val="32"/>
          <w:szCs w:val="32"/>
          <w:highlight w:val="none"/>
        </w:rPr>
        <w:t>盖章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，交至市农业综合服务中心。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名单上报后，服务对象、地点、面积原则上不可变更，若确需变更，须及时将变更名单上报市农业综合服务中心。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（二）签订合同。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项目实施主体与服务对象签订服务合同（附件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）、项目承诺书（附件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），提供水稻病虫害全程统防统治服务，明确服务对象、服务区域、服务面积、服务内容、服务标准、完成时限、收费标准等，明确双方的责任和义务，合同价格以当年当地该生产环节市场服务价格双方协定。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（三）项目实施主体按合同要求完成服务作业。</w:t>
      </w:r>
      <w:r>
        <w:rPr>
          <w:rFonts w:hint="eastAsia" w:ascii="仿宋" w:hAnsi="仿宋" w:eastAsia="仿宋" w:cs="楷体"/>
          <w:color w:val="auto"/>
          <w:sz w:val="32"/>
          <w:szCs w:val="32"/>
          <w:highlight w:val="none"/>
        </w:rPr>
        <w:t>提供全程病虫害防治服务，在水稻封行期至黄熟期，同一类型田块每5-7天开展一次巡田，如实填写田间巡查记录表（附件3-</w:t>
      </w:r>
      <w:r>
        <w:rPr>
          <w:rFonts w:ascii="仿宋" w:hAnsi="仿宋" w:eastAsia="仿宋" w:cs="楷体"/>
          <w:color w:val="auto"/>
          <w:sz w:val="32"/>
          <w:szCs w:val="32"/>
          <w:highlight w:val="none"/>
        </w:rPr>
        <w:t>4</w:t>
      </w:r>
      <w:r>
        <w:rPr>
          <w:rFonts w:hint="eastAsia" w:ascii="仿宋" w:hAnsi="仿宋" w:eastAsia="仿宋" w:cs="楷体"/>
          <w:color w:val="auto"/>
          <w:sz w:val="32"/>
          <w:szCs w:val="32"/>
          <w:highlight w:val="none"/>
        </w:rPr>
        <w:t>），准确掌握病虫发生动态，科学制定防控技术方案，适时组织开展防控，药后3天左右进行防效检查，对防控效果不理想且有必要再次防治的区域须进行第二次施药，确保防治效果，如实填写服务</w:t>
      </w:r>
      <w:r>
        <w:rPr>
          <w:rFonts w:ascii="仿宋" w:hAnsi="仿宋" w:eastAsia="仿宋" w:cs="楷体"/>
          <w:color w:val="auto"/>
          <w:sz w:val="32"/>
          <w:szCs w:val="32"/>
          <w:highlight w:val="none"/>
        </w:rPr>
        <w:t>登记</w:t>
      </w:r>
      <w:r>
        <w:rPr>
          <w:rFonts w:hint="eastAsia" w:ascii="仿宋" w:hAnsi="仿宋" w:eastAsia="仿宋" w:cs="楷体"/>
          <w:color w:val="auto"/>
          <w:sz w:val="32"/>
          <w:szCs w:val="32"/>
          <w:highlight w:val="none"/>
        </w:rPr>
        <w:t>表（附件3-</w:t>
      </w:r>
      <w:r>
        <w:rPr>
          <w:rFonts w:ascii="仿宋" w:hAnsi="仿宋" w:eastAsia="仿宋" w:cs="楷体"/>
          <w:color w:val="auto"/>
          <w:sz w:val="32"/>
          <w:szCs w:val="32"/>
          <w:highlight w:val="none"/>
        </w:rPr>
        <w:t>5</w:t>
      </w:r>
      <w:r>
        <w:rPr>
          <w:rFonts w:hint="eastAsia" w:ascii="仿宋" w:hAnsi="仿宋" w:eastAsia="仿宋" w:cs="楷体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二、服务面积核定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服务面积核定以服务对象签名、村委会和镇街农办确认、市级审核的面积为补助面积。核定步骤如下：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（一）服务对象签名确认。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项目实施主体完成全程统防统治服务后，《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服务作业验收明细表》（附件3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-6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）须填好并交服务对象签名确认。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（二）村委会核实。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项目实施主体整理核对《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服务作业验收明细表》（附件3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-6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），交村委会核实。核实结果在村委会公示栏进行张贴公示，公示期不少于7天。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（三）镇街农办确认。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项目实施主体整理核对《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服务作业验收汇总表》（附件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），交镇街办确认。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（四）市级审核公示。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市农业综合服务中心根据项目实施主体提交的服务验收清单，组织有关人员组成核查小组，以抽查方式核查项目服务对象及服务面积等情况，最终审核结果进行网上公示。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检查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要求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仿宋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eastAsia="zh-CN"/>
        </w:rPr>
        <w:t>项目实施过程中，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实施主体必须配合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市农业综合服务中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心开展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实施情况现场检查，检查次数不少于两次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、验收要求</w:t>
      </w:r>
    </w:p>
    <w:p>
      <w:pPr>
        <w:snapToGrid w:val="0"/>
        <w:spacing w:line="560" w:lineRule="exact"/>
        <w:ind w:firstLine="640" w:firstLineChars="200"/>
        <w:rPr>
          <w:rFonts w:ascii="楷体" w:hAnsi="楷体" w:eastAsia="楷体" w:cs="仿宋"/>
          <w:bCs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"/>
          <w:bCs/>
          <w:color w:val="auto"/>
          <w:sz w:val="32"/>
          <w:szCs w:val="32"/>
          <w:highlight w:val="none"/>
        </w:rPr>
        <w:t>（一）验收程序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项目实施主体完成水稻病虫害全程统防统治服务后，须向市农业综合服务中心申请项目验收，相关验收费用由项目实施主体承担。项目验收流程：一是组织开展田间抽点现场测产验收，以病虫害防治效果、产量为主要依据；二是组织专家开展项目台账材料验收，形成验收报告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仿宋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仿宋"/>
          <w:bCs/>
          <w:color w:val="auto"/>
          <w:sz w:val="32"/>
          <w:szCs w:val="32"/>
          <w:highlight w:val="none"/>
        </w:rPr>
        <w:t>（二）</w:t>
      </w:r>
      <w:r>
        <w:rPr>
          <w:rFonts w:hint="eastAsia" w:ascii="楷体" w:hAnsi="楷体" w:eastAsia="楷体" w:cs="仿宋"/>
          <w:color w:val="auto"/>
          <w:sz w:val="32"/>
          <w:szCs w:val="32"/>
          <w:highlight w:val="none"/>
        </w:rPr>
        <w:t>台账材料要求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服务作业验收明细表》（附件3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-6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服务作业验收明细表》（附件3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-6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）张贴在提供服务所在的村委会公示栏进行公示的相片。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服务作业验收汇总表》（附件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4.服务对象身份证复印件。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5.项目实施主体与服务对象签订的合同复印件（附件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6.项目承诺书（附件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3-3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.收取服务对象费用的收费凭证复印件。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.《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水稻病虫害防治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服务登记表》（附件3-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），每个服务对象1份，包括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防治对象、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施药时间及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天气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农药名称及厂家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亩药量及亩药液量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施药方法、农药包装废弃物回收情况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.服务作业轨迹图（含高度、速度、喷幅、作业时长、流量等信息等）。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.服务作业过程相片（每个服务对象1-2张，照片须标注服务时间地点或含有拍摄时间地点的水印）。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</w:t>
      </w:r>
      <w:r>
        <w:rPr>
          <w:rFonts w:ascii="仿宋" w:hAnsi="仿宋" w:eastAsia="仿宋" w:cs="仿宋"/>
          <w:color w:val="auto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.田间巡查记录表（附件3-4）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农药包装废弃物集中回收实施台账复印件。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开平市2024年中央农业防灾减灾和水利救灾资金（防灾救灾第三批）—水稻病虫害统防统治项目验收报告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（附件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3-10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sectPr>
          <w:pgSz w:w="11906" w:h="16838"/>
          <w:pgMar w:top="2041" w:right="1474" w:bottom="1644" w:left="1588" w:header="851" w:footer="1587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.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材料报送要求：所有材料纸质版、扫描版各一份，2024年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月30日前报送至市农业综合服务中心。</w:t>
      </w:r>
    </w:p>
    <w:p>
      <w:pPr>
        <w:snapToGrid w:val="0"/>
        <w:spacing w:line="560" w:lineRule="exact"/>
        <w:rPr>
          <w:rFonts w:ascii="黑体" w:hAnsi="黑体" w:eastAsia="黑体" w:cs="仿宋"/>
          <w:color w:val="auto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黑体" w:hAnsi="黑体" w:eastAsia="黑体" w:cs="仿宋"/>
          <w:color w:val="auto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黑体" w:hAnsi="黑体" w:eastAsia="黑体" w:cs="仿宋"/>
          <w:color w:val="auto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ascii="黑体" w:hAnsi="黑体" w:eastAsia="黑体" w:cs="仿宋"/>
          <w:color w:val="auto"/>
          <w:sz w:val="32"/>
          <w:szCs w:val="32"/>
          <w:highlight w:val="none"/>
        </w:rPr>
      </w:pPr>
    </w:p>
    <w:p>
      <w:pP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sectPr>
          <w:type w:val="continuous"/>
          <w:pgSz w:w="11906" w:h="16838"/>
          <w:pgMar w:top="2098" w:right="1474" w:bottom="1985" w:left="1588" w:header="851" w:footer="1587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附件3-1</w:t>
      </w:r>
    </w:p>
    <w:p>
      <w:pPr>
        <w:snapToGrid w:val="0"/>
        <w:spacing w:line="400" w:lineRule="exact"/>
        <w:jc w:val="center"/>
        <w:rPr>
          <w:rFonts w:ascii="方正小标宋_GBK" w:hAnsi="方正小标宋_GBK" w:eastAsia="方正小标宋_GBK" w:cs="方正小标宋_GBK"/>
          <w:color w:val="auto"/>
          <w:kern w:val="0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32"/>
          <w:szCs w:val="32"/>
          <w:highlight w:val="none"/>
        </w:rPr>
        <w:t>开平市2024年中央农业防灾减灾和水利救灾资金（防灾救灾第三批）—水稻病虫害统防统治项目服务对象计划名单</w:t>
      </w:r>
    </w:p>
    <w:p>
      <w:pPr>
        <w:snapToGrid w:val="0"/>
        <w:spacing w:line="40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400" w:lineRule="exact"/>
        <w:rPr>
          <w:rFonts w:ascii="仿宋" w:hAnsi="仿宋" w:eastAsia="仿宋" w:cs="仿宋"/>
          <w:color w:val="auto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 xml:space="preserve">实施主体名称：                         </w:t>
      </w:r>
      <w:r>
        <w:rPr>
          <w:rFonts w:ascii="仿宋" w:hAnsi="仿宋" w:eastAsia="仿宋" w:cs="仿宋"/>
          <w:color w:val="auto"/>
          <w:kern w:val="0"/>
          <w:sz w:val="30"/>
          <w:szCs w:val="30"/>
          <w:highlight w:val="none"/>
        </w:rPr>
        <w:t xml:space="preserve">       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年   月   日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288"/>
        <w:gridCol w:w="1261"/>
        <w:gridCol w:w="1538"/>
        <w:gridCol w:w="2254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7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40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实施地点</w:t>
            </w:r>
          </w:p>
        </w:tc>
        <w:tc>
          <w:tcPr>
            <w:tcW w:w="849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服务对象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姓名</w:t>
            </w:r>
          </w:p>
        </w:tc>
        <w:tc>
          <w:tcPr>
            <w:tcW w:w="1244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服务对象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1103" w:type="pct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计划全程</w:t>
            </w:r>
            <w:r>
              <w:rPr>
                <w:rFonts w:hint="eastAsia" w:ascii="黑体" w:hAnsi="黑体" w:eastAsia="黑体" w:cs="仿宋"/>
                <w:color w:val="auto"/>
                <w:sz w:val="32"/>
                <w:szCs w:val="32"/>
                <w:highlight w:val="none"/>
              </w:rPr>
              <w:t>水稻统防统治面积</w:t>
            </w: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（亩</w:t>
            </w: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次</w:t>
            </w: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镇（街）</w:t>
            </w: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仿宋"/>
                <w:bCs/>
                <w:color w:val="auto"/>
                <w:kern w:val="0"/>
                <w:sz w:val="30"/>
                <w:szCs w:val="30"/>
                <w:highlight w:val="none"/>
              </w:rPr>
              <w:t>村委会</w:t>
            </w:r>
          </w:p>
        </w:tc>
        <w:tc>
          <w:tcPr>
            <w:tcW w:w="849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2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3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4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5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6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7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8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9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10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11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12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97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  <w:t>13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49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244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897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30"/>
                <w:szCs w:val="30"/>
                <w:highlight w:val="none"/>
              </w:rPr>
              <w:t>合计</w:t>
            </w:r>
          </w:p>
        </w:tc>
        <w:tc>
          <w:tcPr>
            <w:tcW w:w="110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sectPr>
          <w:pgSz w:w="11906" w:h="16838"/>
          <w:pgMar w:top="2098" w:right="1474" w:bottom="1985" w:left="1588" w:header="851" w:footer="1587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备注：实施主体须按要求将本名单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highlight w:val="none"/>
        </w:rPr>
        <w:t>盖章</w:t>
      </w:r>
      <w:r>
        <w:rPr>
          <w:rFonts w:hint="eastAsia" w:ascii="仿宋" w:hAnsi="仿宋" w:eastAsia="仿宋" w:cs="仿宋"/>
          <w:bCs/>
          <w:color w:val="auto"/>
          <w:kern w:val="0"/>
          <w:sz w:val="30"/>
          <w:szCs w:val="30"/>
          <w:highlight w:val="none"/>
        </w:rPr>
        <w:t>后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交至市农业综合服务中心。</w:t>
      </w:r>
    </w:p>
    <w:p>
      <w:pPr>
        <w:pStyle w:val="2"/>
        <w:kinsoku w:val="0"/>
        <w:overflowPunct w:val="0"/>
        <w:spacing w:before="54"/>
        <w:ind w:left="353"/>
        <w:rPr>
          <w:rFonts w:ascii="黑体" w:eastAsia="黑体" w:cs="黑体"/>
          <w:color w:val="auto"/>
          <w:highlight w:val="none"/>
        </w:rPr>
      </w:pPr>
      <w:r>
        <w:rPr>
          <w:rFonts w:hint="eastAsia" w:ascii="黑体" w:eastAsia="黑体" w:cs="黑体"/>
          <w:color w:val="auto"/>
          <w:highlight w:val="none"/>
        </w:rPr>
        <w:t>附件</w:t>
      </w:r>
      <w:r>
        <w:rPr>
          <w:rFonts w:ascii="黑体" w:eastAsia="黑体" w:cs="黑体"/>
          <w:color w:val="auto"/>
          <w:highlight w:val="none"/>
        </w:rPr>
        <w:t>3-2</w: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5"/>
        <w:rPr>
          <w:rFonts w:ascii="黑体" w:eastAsia="黑体" w:cs="黑体"/>
          <w:color w:val="auto"/>
          <w:sz w:val="28"/>
          <w:szCs w:val="28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1113790</wp:posOffset>
                </wp:positionH>
                <wp:positionV relativeFrom="paragraph">
                  <wp:posOffset>256540</wp:posOffset>
                </wp:positionV>
                <wp:extent cx="5334000" cy="355600"/>
                <wp:effectExtent l="0" t="0" r="0" b="0"/>
                <wp:wrapTopAndBottom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56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5327650" cy="353695"/>
                                  <wp:effectExtent l="0" t="0" r="6350" b="12065"/>
                                  <wp:docPr id="2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327650" cy="3536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7.7pt;margin-top:20.2pt;height:28pt;width:420pt;mso-position-horizontal-relative:page;mso-wrap-distance-bottom:0pt;mso-wrap-distance-top:0pt;z-index:251659264;mso-width-relative:page;mso-height-relative:page;" filled="f" stroked="f" coordsize="21600,21600" o:allowincell="f" o:gfxdata="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yaCzY2QAAAAoBAAAPAAAAAAAAAAEAIAAAACIAAABkcnMvZG93bnJldi54bWxQ&#10;SwECFAAUAAAACACHTuJA31j7VL0BAACBAwAADgAAAAAAAAABACAAAAAoAQAAZHJzL2Uyb0RvYy54&#10;bWxQSwUGAAAAAAYABgBZAQAAVw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56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5327650" cy="353695"/>
                            <wp:effectExtent l="0" t="0" r="6350" b="12065"/>
                            <wp:docPr id="2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327650" cy="3536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jc w:val="center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4"/>
        <w:rPr>
          <w:rFonts w:ascii="黑体" w:eastAsia="黑体" w:cs="黑体"/>
          <w:color w:val="auto"/>
          <w:sz w:val="15"/>
          <w:szCs w:val="15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3540125</wp:posOffset>
                </wp:positionH>
                <wp:positionV relativeFrom="paragraph">
                  <wp:posOffset>149225</wp:posOffset>
                </wp:positionV>
                <wp:extent cx="482600" cy="482600"/>
                <wp:effectExtent l="0" t="0" r="0" b="0"/>
                <wp:wrapTopAndBottom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76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487680" cy="487680"/>
                                  <wp:effectExtent l="0" t="0" r="0" b="0"/>
                                  <wp:docPr id="6" name="图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7680" cy="4876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8.75pt;margin-top:11.75pt;height:38pt;width:38pt;mso-position-horizontal-relative:page;mso-wrap-distance-bottom:0pt;mso-wrap-distance-top:0pt;z-index:251660288;mso-width-relative:page;mso-height-relative:page;" filled="f" stroked="f" coordsize="21600,21600" o:allowincell="f" o:gfxdata="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zQr+doAAAAJAQAADwAAAAAAAAABACAAAAAiAAAAZHJzL2Rvd25yZXYueG1sUEsB&#10;AhQAFAAAAAgAh07iQOwwTOK6AQAAgAMAAA4AAAAAAAAAAQAgAAAAKQEAAGRycy9lMm9Eb2MueG1s&#10;UEsFBgAAAAAGAAYAWQEAAFU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76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487680" cy="487680"/>
                            <wp:effectExtent l="0" t="0" r="0" b="0"/>
                            <wp:docPr id="6" name="图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87680" cy="4876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7"/>
        <w:rPr>
          <w:rFonts w:ascii="黑体" w:eastAsia="黑体" w:cs="黑体"/>
          <w:color w:val="auto"/>
          <w:sz w:val="17"/>
          <w:szCs w:val="17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3564890</wp:posOffset>
                </wp:positionH>
                <wp:positionV relativeFrom="paragraph">
                  <wp:posOffset>167640</wp:posOffset>
                </wp:positionV>
                <wp:extent cx="444500" cy="457200"/>
                <wp:effectExtent l="0" t="0" r="0" b="0"/>
                <wp:wrapTopAndBottom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72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438785" cy="463550"/>
                                  <wp:effectExtent l="0" t="0" r="3175" b="8890"/>
                                  <wp:docPr id="5" name="图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8785" cy="463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0.7pt;margin-top:13.2pt;height:36pt;width:35pt;mso-position-horizontal-relative:page;mso-wrap-distance-bottom:0pt;mso-wrap-distance-top:0pt;z-index:251661312;mso-width-relative:page;mso-height-relative:page;" filled="f" stroked="f" coordsize="21600,21600" o:allowincell="f" o:gfxdata="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KSfojZAAAACQEAAA8AAAAAAAAAAQAgAAAAIgAAAGRycy9kb3ducmV2LnhtbFBL&#10;AQIUABQAAAAIAIdO4kDAK6O1vAEAAIADAAAOAAAAAAAAAAEAIAAAACgBAABkcnMvZTJvRG9jLnht&#10;bFBLBQYAAAAABgAGAFkBAABWBQAAAAA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72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438785" cy="463550"/>
                            <wp:effectExtent l="0" t="0" r="3175" b="8890"/>
                            <wp:docPr id="5" name="图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8785" cy="463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17"/>
          <w:szCs w:val="17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3528060</wp:posOffset>
                </wp:positionH>
                <wp:positionV relativeFrom="paragraph">
                  <wp:posOffset>163195</wp:posOffset>
                </wp:positionV>
                <wp:extent cx="495300" cy="495300"/>
                <wp:effectExtent l="0" t="0" r="0" b="0"/>
                <wp:wrapTopAndBottom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78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499745" cy="494030"/>
                                  <wp:effectExtent l="0" t="0" r="3175" b="8890"/>
                                  <wp:docPr id="13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9745" cy="494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7.8pt;margin-top:12.85pt;height:39pt;width:39pt;mso-position-horizontal-relative:page;mso-wrap-distance-bottom:0pt;mso-wrap-distance-top:0pt;z-index:251662336;mso-width-relative:page;mso-height-relative:page;" filled="f" stroked="f" coordsize="21600,21600" o:allowincell="f" o:gfxdata="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Hkai9oAAAAKAQAADwAAAAAAAAABACAAAAAiAAAAZHJzL2Rvd25yZXYueG1sUEsB&#10;AhQAFAAAAAgAh07iQGp9Kwq6AQAAgAMAAA4AAAAAAAAAAQAgAAAAKQEAAGRycy9lMm9Eb2MueG1s&#10;UEsFBgAAAAAGAAYAWQEAAFU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78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499745" cy="494030"/>
                            <wp:effectExtent l="0" t="0" r="3175" b="8890"/>
                            <wp:docPr id="13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9745" cy="494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11"/>
          <w:szCs w:val="11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3153410</wp:posOffset>
                </wp:positionH>
                <wp:positionV relativeFrom="paragraph">
                  <wp:posOffset>114300</wp:posOffset>
                </wp:positionV>
                <wp:extent cx="1257300" cy="330200"/>
                <wp:effectExtent l="0" t="0" r="0" b="0"/>
                <wp:wrapTopAndBottom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52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1254125" cy="332105"/>
                                  <wp:effectExtent l="0" t="0" r="0" b="0"/>
                                  <wp:docPr id="10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54125" cy="3321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8.3pt;margin-top:9pt;height:26pt;width:99pt;mso-position-horizontal-relative:page;mso-wrap-distance-bottom:0pt;mso-wrap-distance-top:0pt;z-index:251663360;mso-width-relative:page;mso-height-relative:page;" filled="f" stroked="f" coordsize="21600,21600" o:allowincell="f" o:gfxdata="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CDz9jdgAAAAJAQAADwAAAAAAAAABACAAAAAiAAAAZHJzL2Rvd25yZXYueG1sUEsB&#10;AhQAFAAAAAgAh07iQJpfJf28AQAAgQMAAA4AAAAAAAAAAQAgAAAAJwEAAGRycy9lMm9Eb2MueG1s&#10;UEsFBgAAAAAGAAYAWQEAAFU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52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1254125" cy="332105"/>
                            <wp:effectExtent l="0" t="0" r="0" b="0"/>
                            <wp:docPr id="10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图片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54125" cy="3321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11"/>
        <w:rPr>
          <w:rFonts w:ascii="黑体" w:eastAsia="黑体" w:cs="黑体"/>
          <w:color w:val="auto"/>
          <w:sz w:val="14"/>
          <w:szCs w:val="14"/>
          <w:highlight w:val="none"/>
        </w:rPr>
      </w:pPr>
    </w:p>
    <w:p>
      <w:pPr>
        <w:pStyle w:val="2"/>
        <w:kinsoku w:val="0"/>
        <w:overflowPunct w:val="0"/>
        <w:spacing w:line="560" w:lineRule="exact"/>
        <w:ind w:left="49" w:right="32"/>
        <w:jc w:val="center"/>
        <w:rPr>
          <w:rFonts w:ascii="Microsoft JhengHei" w:eastAsia="Microsoft JhengHei" w:cs="Microsoft JhengHei"/>
          <w:b/>
          <w:bCs/>
          <w:color w:val="auto"/>
          <w:sz w:val="36"/>
          <w:szCs w:val="36"/>
          <w:highlight w:val="none"/>
        </w:rPr>
      </w:pPr>
      <w:r>
        <w:rPr>
          <w:rFonts w:hint="eastAsia" w:ascii="Microsoft JhengHei" w:eastAsia="Microsoft JhengHei" w:cs="Microsoft JhengHei"/>
          <w:b/>
          <w:bCs/>
          <w:color w:val="auto"/>
          <w:sz w:val="36"/>
          <w:szCs w:val="36"/>
          <w:highlight w:val="none"/>
        </w:rPr>
        <w:t>广东省农业农村厅编制</w:t>
      </w:r>
    </w:p>
    <w:p>
      <w:pPr>
        <w:pStyle w:val="2"/>
        <w:kinsoku w:val="0"/>
        <w:overflowPunct w:val="0"/>
        <w:spacing w:line="628" w:lineRule="exact"/>
        <w:ind w:left="48" w:right="32"/>
        <w:jc w:val="center"/>
        <w:rPr>
          <w:rFonts w:ascii="Microsoft JhengHei" w:eastAsia="Microsoft JhengHei" w:cs="Microsoft JhengHei"/>
          <w:b/>
          <w:bCs/>
          <w:color w:val="auto"/>
          <w:sz w:val="36"/>
          <w:szCs w:val="36"/>
          <w:highlight w:val="none"/>
        </w:rPr>
      </w:pPr>
      <w:r>
        <w:rPr>
          <w:rFonts w:hint="eastAsia" w:ascii="Microsoft JhengHei" w:eastAsia="Microsoft JhengHei" w:cs="Microsoft JhengHei"/>
          <w:b/>
          <w:bCs/>
          <w:color w:val="auto"/>
          <w:sz w:val="36"/>
          <w:szCs w:val="36"/>
          <w:highlight w:val="none"/>
        </w:rPr>
        <w:t>二○二三年</w:t>
      </w: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ind w:left="353"/>
        <w:rPr>
          <w:rFonts w:hint="eastAsia"/>
          <w:color w:val="auto"/>
          <w:sz w:val="24"/>
          <w:szCs w:val="24"/>
          <w:highlight w:val="none"/>
        </w:rPr>
      </w:pPr>
    </w:p>
    <w:p>
      <w:pPr>
        <w:pStyle w:val="2"/>
        <w:kinsoku w:val="0"/>
        <w:overflowPunct w:val="0"/>
        <w:ind w:left="353"/>
        <w:rPr>
          <w:rFonts w:hint="eastAsia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合同编号：</w:t>
      </w: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14"/>
          <w:szCs w:val="14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1266190</wp:posOffset>
                </wp:positionH>
                <wp:positionV relativeFrom="paragraph">
                  <wp:posOffset>139065</wp:posOffset>
                </wp:positionV>
                <wp:extent cx="5029200" cy="279400"/>
                <wp:effectExtent l="0" t="0" r="0" b="0"/>
                <wp:wrapTopAndBottom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44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5027295" cy="285115"/>
                                  <wp:effectExtent l="0" t="0" r="1905" b="4445"/>
                                  <wp:docPr id="11" name="图片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27295" cy="2851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.7pt;margin-top:10.95pt;height:22pt;width:396pt;mso-position-horizontal-relative:page;mso-wrap-distance-bottom:0pt;mso-wrap-distance-top:0pt;z-index:251664384;mso-width-relative:page;mso-height-relative:page;" filled="f" stroked="f" coordsize="21600,21600" o:allowincell="f" o:gfxdata="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I5x9MfYAAAACQEAAA8AAAAAAAAAAQAgAAAAIgAAAGRycy9kb3ducmV2LnhtbFBL&#10;AQIUABQAAAAIAIdO4kDvwMiAvQEAAIMDAAAOAAAAAAAAAAEAIAAAACcBAABkcnMvZTJvRG9jLnht&#10;bFBLBQYAAAAABgAGAFkBAABWBQAAAAA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44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5027295" cy="285115"/>
                            <wp:effectExtent l="0" t="0" r="1905" b="4445"/>
                            <wp:docPr id="11" name="图片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27295" cy="285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5"/>
        <w:rPr>
          <w:color w:val="auto"/>
          <w:sz w:val="25"/>
          <w:szCs w:val="25"/>
          <w:highlight w:val="none"/>
        </w:rPr>
      </w:pPr>
    </w:p>
    <w:p>
      <w:pPr>
        <w:pStyle w:val="2"/>
        <w:tabs>
          <w:tab w:val="left" w:pos="8393"/>
          <w:tab w:val="left" w:pos="8513"/>
        </w:tabs>
        <w:kinsoku w:val="0"/>
        <w:overflowPunct w:val="0"/>
        <w:spacing w:before="74" w:line="343" w:lineRule="auto"/>
        <w:ind w:left="353" w:right="1024"/>
        <w:jc w:val="both"/>
        <w:rPr>
          <w:rFonts w:ascii="Times New Roman"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甲</w:t>
      </w:r>
      <w:r>
        <w:rPr>
          <w:color w:val="auto"/>
          <w:spacing w:val="119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方（服务对象）：</w:t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ab/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乙</w:t>
      </w:r>
      <w:r>
        <w:rPr>
          <w:color w:val="auto"/>
          <w:spacing w:val="119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方（服务组织）：</w:t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ab/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身份证号</w:t>
      </w:r>
      <w:r>
        <w:rPr>
          <w:color w:val="auto"/>
          <w:sz w:val="24"/>
          <w:szCs w:val="24"/>
          <w:highlight w:val="none"/>
        </w:rPr>
        <w:t>/</w:t>
      </w:r>
      <w:r>
        <w:rPr>
          <w:rFonts w:hint="eastAsia"/>
          <w:color w:val="auto"/>
          <w:sz w:val="24"/>
          <w:szCs w:val="24"/>
          <w:highlight w:val="none"/>
        </w:rPr>
        <w:t>统一社会信用代码：</w:t>
      </w:r>
      <w:r>
        <w:rPr>
          <w:color w:val="auto"/>
          <w:spacing w:val="-1"/>
          <w:sz w:val="24"/>
          <w:szCs w:val="24"/>
          <w:highlight w:val="none"/>
        </w:rPr>
        <w:t xml:space="preserve"> </w:t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ab/>
      </w:r>
      <w:r>
        <w:rPr>
          <w:rFonts w:ascii="Times New Roman"/>
          <w:color w:val="auto"/>
          <w:sz w:val="24"/>
          <w:szCs w:val="24"/>
          <w:highlight w:val="none"/>
          <w:u w:val="single"/>
        </w:rPr>
        <w:tab/>
      </w:r>
    </w:p>
    <w:p>
      <w:pPr>
        <w:pStyle w:val="2"/>
        <w:tabs>
          <w:tab w:val="left" w:pos="1673"/>
        </w:tabs>
        <w:kinsoku w:val="0"/>
        <w:overflowPunct w:val="0"/>
        <w:snapToGrid w:val="0"/>
        <w:spacing w:line="400" w:lineRule="exact"/>
        <w:ind w:left="352" w:right="304" w:firstLine="482"/>
        <w:jc w:val="both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为切实做好水稻重大病虫害防治工作，践行“公共植保，绿色植保，科学植保</w:t>
      </w:r>
      <w:r>
        <w:rPr>
          <w:rFonts w:hint="eastAsia"/>
          <w:color w:val="auto"/>
          <w:spacing w:val="-17"/>
          <w:sz w:val="24"/>
          <w:szCs w:val="24"/>
          <w:highlight w:val="none"/>
        </w:rPr>
        <w:t>”</w:t>
      </w:r>
      <w:r>
        <w:rPr>
          <w:color w:val="auto"/>
          <w:spacing w:val="-17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的理念</w:t>
      </w:r>
      <w:r>
        <w:rPr>
          <w:rFonts w:hint="eastAsia"/>
          <w:color w:val="auto"/>
          <w:spacing w:val="-8"/>
          <w:sz w:val="24"/>
          <w:szCs w:val="24"/>
          <w:highlight w:val="none"/>
        </w:rPr>
        <w:t>和</w:t>
      </w:r>
      <w:r>
        <w:rPr>
          <w:rFonts w:hint="eastAsia"/>
          <w:color w:val="auto"/>
          <w:sz w:val="24"/>
          <w:szCs w:val="24"/>
          <w:highlight w:val="none"/>
        </w:rPr>
        <w:t>“预防为主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，</w:t>
      </w:r>
      <w:r>
        <w:rPr>
          <w:rFonts w:hint="eastAsia"/>
          <w:color w:val="auto"/>
          <w:sz w:val="24"/>
          <w:szCs w:val="24"/>
          <w:highlight w:val="none"/>
        </w:rPr>
        <w:t>综合防治</w:t>
      </w:r>
      <w:r>
        <w:rPr>
          <w:rFonts w:hint="eastAsia"/>
          <w:color w:val="auto"/>
          <w:spacing w:val="-8"/>
          <w:sz w:val="24"/>
          <w:szCs w:val="24"/>
          <w:highlight w:val="none"/>
        </w:rPr>
        <w:t>”</w:t>
      </w:r>
      <w:r>
        <w:rPr>
          <w:rFonts w:hint="eastAsia"/>
          <w:color w:val="auto"/>
          <w:sz w:val="24"/>
          <w:szCs w:val="24"/>
          <w:highlight w:val="none"/>
        </w:rPr>
        <w:t>的植保方针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，</w:t>
      </w:r>
      <w:r>
        <w:rPr>
          <w:rFonts w:hint="eastAsia"/>
          <w:color w:val="auto"/>
          <w:sz w:val="24"/>
          <w:szCs w:val="24"/>
          <w:highlight w:val="none"/>
        </w:rPr>
        <w:t>降低生产成本</w:t>
      </w:r>
      <w:r>
        <w:rPr>
          <w:rFonts w:hint="eastAsia"/>
          <w:color w:val="auto"/>
          <w:spacing w:val="-8"/>
          <w:sz w:val="24"/>
          <w:szCs w:val="24"/>
          <w:highlight w:val="none"/>
        </w:rPr>
        <w:t>，</w:t>
      </w:r>
      <w:r>
        <w:rPr>
          <w:rFonts w:hint="eastAsia"/>
          <w:color w:val="auto"/>
          <w:sz w:val="24"/>
          <w:szCs w:val="24"/>
          <w:highlight w:val="none"/>
        </w:rPr>
        <w:t>提高防治水平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，</w:t>
      </w:r>
      <w:r>
        <w:rPr>
          <w:rFonts w:hint="eastAsia"/>
          <w:color w:val="auto"/>
          <w:sz w:val="24"/>
          <w:szCs w:val="24"/>
          <w:highlight w:val="none"/>
        </w:rPr>
        <w:t>实现科学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、</w:t>
      </w:r>
      <w:r>
        <w:rPr>
          <w:rFonts w:hint="eastAsia"/>
          <w:color w:val="auto"/>
          <w:sz w:val="24"/>
          <w:szCs w:val="24"/>
          <w:highlight w:val="none"/>
        </w:rPr>
        <w:t>高效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、</w:t>
      </w:r>
      <w:r>
        <w:rPr>
          <w:rFonts w:hint="eastAsia"/>
          <w:color w:val="auto"/>
          <w:sz w:val="24"/>
          <w:szCs w:val="24"/>
          <w:highlight w:val="none"/>
        </w:rPr>
        <w:t>生态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、</w:t>
      </w:r>
      <w:r>
        <w:rPr>
          <w:rFonts w:hint="eastAsia"/>
          <w:color w:val="auto"/>
          <w:sz w:val="24"/>
          <w:szCs w:val="24"/>
          <w:highlight w:val="none"/>
        </w:rPr>
        <w:t>安全用药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。</w:t>
      </w:r>
      <w:r>
        <w:rPr>
          <w:rFonts w:hint="eastAsia"/>
          <w:color w:val="auto"/>
          <w:sz w:val="24"/>
          <w:szCs w:val="24"/>
          <w:highlight w:val="none"/>
        </w:rPr>
        <w:t>根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据</w:t>
      </w:r>
      <w:r>
        <w:rPr>
          <w:rFonts w:hint="eastAsia"/>
          <w:color w:val="auto"/>
          <w:sz w:val="24"/>
          <w:szCs w:val="24"/>
          <w:highlight w:val="none"/>
        </w:rPr>
        <w:t>《中华人民共和国民法典</w:t>
      </w:r>
      <w:r>
        <w:rPr>
          <w:rFonts w:hint="eastAsia"/>
          <w:color w:val="auto"/>
          <w:spacing w:val="-10"/>
          <w:sz w:val="24"/>
          <w:szCs w:val="24"/>
          <w:highlight w:val="none"/>
        </w:rPr>
        <w:t>》</w:t>
      </w:r>
      <w:r>
        <w:rPr>
          <w:rFonts w:hint="eastAsia"/>
          <w:color w:val="auto"/>
          <w:sz w:val="24"/>
          <w:szCs w:val="24"/>
          <w:highlight w:val="none"/>
        </w:rPr>
        <w:t>《农作物病虫害防治条例》等有关法律、条例规定，本着自愿及平等互利原则，经甲、乙双方友好协商</w:t>
      </w:r>
      <w:r>
        <w:rPr>
          <w:rFonts w:hint="eastAsia"/>
          <w:color w:val="auto"/>
          <w:spacing w:val="-17"/>
          <w:sz w:val="24"/>
          <w:szCs w:val="24"/>
          <w:highlight w:val="none"/>
        </w:rPr>
        <w:t>，</w:t>
      </w:r>
      <w:r>
        <w:rPr>
          <w:color w:val="auto"/>
          <w:spacing w:val="-17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订立</w:t>
      </w:r>
      <w:r>
        <w:rPr>
          <w:color w:val="auto"/>
          <w:sz w:val="24"/>
          <w:szCs w:val="24"/>
          <w:highlight w:val="none"/>
          <w:u w:val="single"/>
        </w:rPr>
        <w:t xml:space="preserve"> </w:t>
      </w:r>
      <w:r>
        <w:rPr>
          <w:color w:val="auto"/>
          <w:sz w:val="24"/>
          <w:szCs w:val="24"/>
          <w:highlight w:val="none"/>
          <w:u w:val="singl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年度</w:t>
      </w:r>
      <w:r>
        <w:rPr>
          <w:color w:val="auto"/>
          <w:spacing w:val="119"/>
          <w:sz w:val="24"/>
          <w:szCs w:val="24"/>
          <w:highlight w:val="none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造水稻病虫害专业化防治服务合同</w:t>
      </w:r>
      <w:r>
        <w:rPr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，具体合同细节如下：</w:t>
      </w:r>
    </w:p>
    <w:p>
      <w:pPr>
        <w:pStyle w:val="2"/>
        <w:kinsoku w:val="0"/>
        <w:overflowPunct w:val="0"/>
        <w:snapToGrid w:val="0"/>
        <w:spacing w:line="400" w:lineRule="exact"/>
        <w:ind w:left="352" w:right="340" w:firstLine="482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pacing w:val="-7"/>
          <w:sz w:val="24"/>
          <w:szCs w:val="24"/>
          <w:highlight w:val="none"/>
        </w:rPr>
        <w:t>一、甲方以有偿服务形式将以下田块水稻病虫害防治工作交由乙方开展“水稻病</w:t>
      </w: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虫害专业化防治”服务，具体如下：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1"/>
        <w:gridCol w:w="1669"/>
        <w:gridCol w:w="1869"/>
        <w:gridCol w:w="1478"/>
        <w:gridCol w:w="14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ind w:right="955" w:firstLine="840" w:firstLineChars="350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名称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ind w:left="246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户数（户）</w:t>
            </w: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ind w:left="348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面积（亩）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ind w:left="268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田块位置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ind w:left="488" w:right="488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</w:tbl>
    <w:p>
      <w:pPr>
        <w:pStyle w:val="2"/>
        <w:tabs>
          <w:tab w:val="left" w:pos="4010"/>
        </w:tabs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二、服务内容及形式</w:t>
      </w:r>
      <w:r>
        <w:rPr>
          <w:rFonts w:ascii="黑体" w:eastAsia="黑体" w:cs="黑体"/>
          <w:color w:val="auto"/>
          <w:sz w:val="24"/>
          <w:szCs w:val="24"/>
          <w:highlight w:val="none"/>
        </w:rPr>
        <w:tab/>
      </w:r>
    </w:p>
    <w:p>
      <w:pPr>
        <w:pStyle w:val="2"/>
        <w:kinsoku w:val="0"/>
        <w:overflowPunct w:val="0"/>
        <w:snapToGrid w:val="0"/>
        <w:spacing w:line="400" w:lineRule="exact"/>
        <w:ind w:left="353" w:firstLine="482"/>
        <w:rPr>
          <w:rFonts w:hAnsi="宋体"/>
          <w:color w:val="auto"/>
          <w:sz w:val="24"/>
          <w:szCs w:val="24"/>
          <w:highlight w:val="none"/>
        </w:rPr>
      </w:pPr>
      <w:r>
        <w:rPr>
          <w:rFonts w:hint="eastAsia" w:hAnsi="宋体" w:cs="Microsoft JhengHei"/>
          <w:bCs/>
          <w:color w:val="auto"/>
          <w:sz w:val="24"/>
          <w:szCs w:val="24"/>
          <w:highlight w:val="none"/>
        </w:rPr>
        <w:t>服务内容：</w:t>
      </w:r>
      <w:r>
        <w:rPr>
          <w:rFonts w:hint="eastAsia" w:hAnsi="宋体"/>
          <w:color w:val="auto"/>
          <w:sz w:val="24"/>
          <w:szCs w:val="24"/>
          <w:highlight w:val="none"/>
        </w:rPr>
        <w:t>乙方对合同约定的甲方水稻田块实施“三虫两病”，即稻纵卷叶螟</w:t>
      </w:r>
      <w:r>
        <w:rPr>
          <w:rFonts w:hint="eastAsia" w:hAnsi="宋体"/>
          <w:color w:val="auto"/>
          <w:spacing w:val="-5"/>
          <w:sz w:val="24"/>
          <w:szCs w:val="24"/>
          <w:highlight w:val="none"/>
        </w:rPr>
        <w:t>、</w:t>
      </w:r>
      <w:r>
        <w:rPr>
          <w:rFonts w:hint="eastAsia" w:hAnsi="宋体"/>
          <w:color w:val="auto"/>
          <w:sz w:val="24"/>
          <w:szCs w:val="24"/>
          <w:highlight w:val="none"/>
        </w:rPr>
        <w:t>稻飞虱</w:t>
      </w:r>
      <w:r>
        <w:rPr>
          <w:rFonts w:hint="eastAsia" w:hAnsi="宋体"/>
          <w:color w:val="auto"/>
          <w:spacing w:val="-5"/>
          <w:sz w:val="24"/>
          <w:szCs w:val="24"/>
          <w:highlight w:val="none"/>
        </w:rPr>
        <w:t>、</w:t>
      </w:r>
      <w:r>
        <w:rPr>
          <w:rFonts w:hint="eastAsia" w:hAnsi="宋体"/>
          <w:color w:val="auto"/>
          <w:sz w:val="24"/>
          <w:szCs w:val="24"/>
          <w:highlight w:val="none"/>
        </w:rPr>
        <w:t>钻蛀性螟虫</w:t>
      </w:r>
      <w:r>
        <w:rPr>
          <w:rFonts w:hint="eastAsia" w:hAnsi="宋体"/>
          <w:color w:val="auto"/>
          <w:spacing w:val="-5"/>
          <w:sz w:val="24"/>
          <w:szCs w:val="24"/>
          <w:highlight w:val="none"/>
        </w:rPr>
        <w:t>、</w:t>
      </w:r>
      <w:r>
        <w:rPr>
          <w:rFonts w:hint="eastAsia" w:hAnsi="宋体"/>
          <w:color w:val="auto"/>
          <w:sz w:val="24"/>
          <w:szCs w:val="24"/>
          <w:highlight w:val="none"/>
        </w:rPr>
        <w:t>纹枯病</w:t>
      </w:r>
      <w:r>
        <w:rPr>
          <w:rFonts w:hint="eastAsia" w:hAnsi="宋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白叶枯病</w:t>
      </w:r>
      <w:r>
        <w:rPr>
          <w:rFonts w:hint="eastAsia" w:hAnsi="宋体"/>
          <w:color w:val="auto"/>
          <w:sz w:val="24"/>
          <w:szCs w:val="24"/>
          <w:highlight w:val="none"/>
        </w:rPr>
        <w:t>防治服务。</w:t>
      </w:r>
    </w:p>
    <w:p>
      <w:pPr>
        <w:pStyle w:val="2"/>
        <w:kinsoku w:val="0"/>
        <w:overflowPunct w:val="0"/>
        <w:snapToGrid w:val="0"/>
        <w:spacing w:line="400" w:lineRule="exact"/>
        <w:ind w:left="836"/>
        <w:rPr>
          <w:rFonts w:hAnsi="宋体"/>
          <w:color w:val="auto"/>
          <w:sz w:val="24"/>
          <w:szCs w:val="24"/>
          <w:highlight w:val="none"/>
        </w:rPr>
      </w:pPr>
      <w:r>
        <w:rPr>
          <w:rFonts w:hint="eastAsia" w:hAnsi="宋体" w:cs="Microsoft JhengHei"/>
          <w:bCs/>
          <w:color w:val="auto"/>
          <w:sz w:val="24"/>
          <w:szCs w:val="24"/>
          <w:highlight w:val="none"/>
        </w:rPr>
        <w:t>服务形式：</w:t>
      </w:r>
      <w:r>
        <w:rPr>
          <w:rFonts w:hint="eastAsia" w:hAnsi="宋体"/>
          <w:color w:val="auto"/>
          <w:sz w:val="24"/>
          <w:szCs w:val="24"/>
          <w:highlight w:val="none"/>
        </w:rPr>
        <w:t>全程承包防治服务。由乙方负责提供农药、机械并统一安排人员施药，</w:t>
      </w:r>
    </w:p>
    <w:p>
      <w:pPr>
        <w:pStyle w:val="2"/>
        <w:kinsoku w:val="0"/>
        <w:overflowPunct w:val="0"/>
        <w:snapToGrid w:val="0"/>
        <w:spacing w:line="400" w:lineRule="exact"/>
        <w:ind w:left="353"/>
        <w:rPr>
          <w:rFonts w:hAnsi="宋体"/>
          <w:color w:val="auto"/>
          <w:sz w:val="22"/>
          <w:szCs w:val="22"/>
          <w:highlight w:val="none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>提供防治技术方案和田块跟踪服务。</w:t>
      </w:r>
    </w:p>
    <w:p>
      <w:pPr>
        <w:pStyle w:val="2"/>
        <w:kinsoku w:val="0"/>
        <w:overflowPunct w:val="0"/>
        <w:snapToGrid w:val="0"/>
        <w:spacing w:line="400" w:lineRule="exact"/>
        <w:ind w:left="836"/>
        <w:rPr>
          <w:rFonts w:hAnsi="宋体"/>
          <w:color w:val="auto"/>
          <w:sz w:val="24"/>
          <w:szCs w:val="24"/>
          <w:highlight w:val="none"/>
        </w:rPr>
      </w:pPr>
      <w:r>
        <w:rPr>
          <w:rFonts w:hint="eastAsia" w:hAnsi="宋体" w:cs="Microsoft JhengHei"/>
          <w:bCs/>
          <w:color w:val="auto"/>
          <w:sz w:val="24"/>
          <w:szCs w:val="24"/>
          <w:highlight w:val="none"/>
        </w:rPr>
        <w:t>病虫全程防治期限：</w:t>
      </w:r>
      <w:r>
        <w:rPr>
          <w:rFonts w:hint="eastAsia" w:hAnsi="宋体"/>
          <w:color w:val="auto"/>
          <w:sz w:val="24"/>
          <w:szCs w:val="24"/>
          <w:highlight w:val="none"/>
        </w:rPr>
        <w:t>水稻秧苗移栽（三叶一心）后至收割前。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三、收费标准及结算方式</w:t>
      </w:r>
    </w:p>
    <w:p>
      <w:pPr>
        <w:pStyle w:val="2"/>
        <w:kinsoku w:val="0"/>
        <w:overflowPunct w:val="0"/>
        <w:snapToGrid w:val="0"/>
        <w:spacing w:line="400" w:lineRule="exact"/>
        <w:ind w:left="836"/>
        <w:rPr>
          <w:rFonts w:hAnsi="宋体" w:cs="Microsoft JhengHei"/>
          <w:bCs/>
          <w:color w:val="auto"/>
          <w:sz w:val="24"/>
          <w:szCs w:val="24"/>
          <w:highlight w:val="none"/>
        </w:rPr>
      </w:pPr>
      <w:r>
        <w:rPr>
          <w:rFonts w:hint="eastAsia" w:hAnsi="宋体" w:cs="Microsoft JhengHei"/>
          <w:bCs/>
          <w:color w:val="auto"/>
          <w:sz w:val="24"/>
          <w:szCs w:val="24"/>
          <w:highlight w:val="none"/>
        </w:rPr>
        <w:t>收费标准如下：</w:t>
      </w:r>
    </w:p>
    <w:tbl>
      <w:tblPr>
        <w:tblStyle w:val="4"/>
        <w:tblW w:w="4553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911"/>
        <w:gridCol w:w="1560"/>
        <w:gridCol w:w="1701"/>
        <w:gridCol w:w="16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市场价格（元</w:t>
            </w:r>
            <w:r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  <w:t>/</w:t>
            </w: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亩）</w:t>
            </w:r>
          </w:p>
        </w:tc>
        <w:tc>
          <w:tcPr>
            <w:tcW w:w="1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实际收费（元</w:t>
            </w:r>
            <w:r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  <w:t>/</w:t>
            </w: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亩）</w:t>
            </w: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签约亩数（亩）</w:t>
            </w:r>
          </w:p>
        </w:tc>
        <w:tc>
          <w:tcPr>
            <w:tcW w:w="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实际总收费（元）</w:t>
            </w: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黑体" w:eastAsia="黑体" w:cs="黑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sz w:val="20"/>
                <w:szCs w:val="20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1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jc w:val="center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9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9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napToGrid w:val="0"/>
              <w:spacing w:line="400" w:lineRule="exact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</w:tbl>
    <w:p>
      <w:pPr>
        <w:pStyle w:val="2"/>
        <w:tabs>
          <w:tab w:val="left" w:pos="6276"/>
          <w:tab w:val="left" w:pos="8957"/>
        </w:tabs>
        <w:kinsoku w:val="0"/>
        <w:overflowPunct w:val="0"/>
        <w:snapToGrid w:val="0"/>
        <w:spacing w:line="400" w:lineRule="exact"/>
        <w:ind w:left="352" w:right="340" w:firstLine="482"/>
        <w:rPr>
          <w:color w:val="auto"/>
          <w:sz w:val="24"/>
          <w:szCs w:val="24"/>
          <w:highlight w:val="none"/>
        </w:rPr>
      </w:pPr>
      <w:r>
        <w:rPr>
          <w:rFonts w:hint="eastAsia" w:hAnsi="宋体" w:cs="Microsoft JhengHei"/>
          <w:bCs/>
          <w:color w:val="auto"/>
          <w:sz w:val="24"/>
          <w:szCs w:val="24"/>
          <w:highlight w:val="none"/>
        </w:rPr>
        <w:t>结算方式</w:t>
      </w:r>
      <w:r>
        <w:rPr>
          <w:rFonts w:hint="eastAsia" w:hAnsi="宋体" w:cs="Microsoft JhengHei"/>
          <w:bCs/>
          <w:color w:val="auto"/>
          <w:spacing w:val="-82"/>
          <w:sz w:val="24"/>
          <w:szCs w:val="24"/>
          <w:highlight w:val="none"/>
        </w:rPr>
        <w:t>：</w:t>
      </w:r>
      <w:r>
        <w:rPr>
          <w:rFonts w:hint="eastAsia" w:hAnsi="宋体"/>
          <w:color w:val="auto"/>
          <w:sz w:val="24"/>
          <w:szCs w:val="24"/>
          <w:highlight w:val="none"/>
        </w:rPr>
        <w:t>在签订合同时甲方向乙方支付服务费</w:t>
      </w:r>
      <w:r>
        <w:rPr>
          <w:rFonts w:hAnsi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Ansi="宋体"/>
          <w:color w:val="auto"/>
          <w:sz w:val="24"/>
          <w:szCs w:val="24"/>
          <w:highlight w:val="none"/>
          <w:u w:val="single"/>
        </w:rPr>
        <w:tab/>
      </w:r>
      <w:r>
        <w:rPr>
          <w:rFonts w:hint="eastAsia" w:hAnsi="宋体"/>
          <w:color w:val="auto"/>
          <w:sz w:val="24"/>
          <w:szCs w:val="24"/>
          <w:highlight w:val="none"/>
        </w:rPr>
        <w:t>元</w:t>
      </w:r>
      <w:r>
        <w:rPr>
          <w:rFonts w:hint="eastAsia" w:hAnsi="宋体"/>
          <w:color w:val="auto"/>
          <w:spacing w:val="-80"/>
          <w:sz w:val="24"/>
          <w:szCs w:val="24"/>
          <w:highlight w:val="none"/>
        </w:rPr>
        <w:t>，</w:t>
      </w:r>
      <w:r>
        <w:rPr>
          <w:rFonts w:hint="eastAsia" w:hAnsi="宋体"/>
          <w:color w:val="auto"/>
          <w:sz w:val="24"/>
          <w:szCs w:val="24"/>
          <w:highlight w:val="none"/>
        </w:rPr>
        <w:t>余下部分服务费</w:t>
      </w:r>
      <w:r>
        <w:rPr>
          <w:rFonts w:hAnsi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Ansi="宋体"/>
          <w:color w:val="auto"/>
          <w:sz w:val="24"/>
          <w:szCs w:val="24"/>
          <w:highlight w:val="none"/>
          <w:u w:val="single"/>
        </w:rPr>
        <w:tab/>
      </w:r>
      <w:r>
        <w:rPr>
          <w:rFonts w:hint="eastAsia" w:hAnsi="宋体"/>
          <w:color w:val="auto"/>
          <w:spacing w:val="-17"/>
          <w:sz w:val="24"/>
          <w:szCs w:val="24"/>
          <w:highlight w:val="none"/>
        </w:rPr>
        <w:t>元</w:t>
      </w:r>
      <w:r>
        <w:rPr>
          <w:rFonts w:hint="eastAsia" w:hAnsi="宋体"/>
          <w:color w:val="auto"/>
          <w:sz w:val="24"/>
          <w:szCs w:val="24"/>
          <w:highlight w:val="none"/>
        </w:rPr>
        <w:t>在双方服务合同终止前</w:t>
      </w:r>
      <w:r>
        <w:rPr>
          <w:rFonts w:hAnsi="宋体"/>
          <w:color w:val="auto"/>
          <w:spacing w:val="-60"/>
          <w:sz w:val="24"/>
          <w:szCs w:val="24"/>
          <w:highlight w:val="none"/>
        </w:rPr>
        <w:t xml:space="preserve"> </w:t>
      </w:r>
      <w:r>
        <w:rPr>
          <w:rFonts w:hAnsi="宋体"/>
          <w:color w:val="auto"/>
          <w:sz w:val="24"/>
          <w:szCs w:val="24"/>
          <w:highlight w:val="none"/>
        </w:rPr>
        <w:t>1</w:t>
      </w:r>
      <w:r>
        <w:rPr>
          <w:color w:val="auto"/>
          <w:sz w:val="24"/>
          <w:szCs w:val="24"/>
          <w:highlight w:val="none"/>
        </w:rPr>
        <w:t>5</w:t>
      </w:r>
      <w:r>
        <w:rPr>
          <w:color w:val="auto"/>
          <w:spacing w:val="-60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z w:val="24"/>
          <w:szCs w:val="24"/>
          <w:highlight w:val="none"/>
        </w:rPr>
        <w:t>日内一次性结清。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甲方可采取以下方式支付：银行转账、微信、支付宝、现金。</w:t>
      </w:r>
    </w:p>
    <w:p>
      <w:pPr>
        <w:pStyle w:val="2"/>
        <w:kinsoku w:val="0"/>
        <w:overflowPunct w:val="0"/>
        <w:snapToGrid w:val="0"/>
        <w:spacing w:line="400" w:lineRule="exact"/>
        <w:ind w:left="353" w:right="283" w:firstLine="48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乙方应向甲方提供银行收款信息（开户名、账号、开户行），微信、支付宝收款二维码等。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四、防效验收</w:t>
      </w:r>
    </w:p>
    <w:p>
      <w:pPr>
        <w:pStyle w:val="2"/>
        <w:kinsoku w:val="0"/>
        <w:overflowPunct w:val="0"/>
        <w:snapToGrid w:val="0"/>
        <w:spacing w:line="400" w:lineRule="exact"/>
        <w:ind w:left="353" w:right="337" w:firstLine="480"/>
        <w:jc w:val="both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pacing w:val="-6"/>
          <w:sz w:val="24"/>
          <w:szCs w:val="24"/>
          <w:highlight w:val="none"/>
        </w:rPr>
        <w:t>乙方对田块提供施药服务，坚持“效果优先、兼顾效率”原则。甲方在乙方正常</w:t>
      </w:r>
      <w:r>
        <w:rPr>
          <w:rFonts w:hint="eastAsia"/>
          <w:color w:val="auto"/>
          <w:spacing w:val="-10"/>
          <w:sz w:val="24"/>
          <w:szCs w:val="24"/>
          <w:highlight w:val="none"/>
        </w:rPr>
        <w:t>施药结束后</w:t>
      </w:r>
      <w:r>
        <w:rPr>
          <w:color w:val="auto"/>
          <w:spacing w:val="-10"/>
          <w:sz w:val="24"/>
          <w:szCs w:val="24"/>
          <w:highlight w:val="none"/>
        </w:rPr>
        <w:t xml:space="preserve"> </w:t>
      </w:r>
      <w:r>
        <w:rPr>
          <w:color w:val="auto"/>
          <w:sz w:val="24"/>
          <w:szCs w:val="24"/>
          <w:highlight w:val="none"/>
        </w:rPr>
        <w:t>7</w:t>
      </w:r>
      <w:r>
        <w:rPr>
          <w:color w:val="auto"/>
          <w:spacing w:val="-11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pacing w:val="-11"/>
          <w:sz w:val="24"/>
          <w:szCs w:val="24"/>
          <w:highlight w:val="none"/>
        </w:rPr>
        <w:t>天内对服务质量进行初次验收，整体验收时间为收割前</w:t>
      </w:r>
      <w:r>
        <w:rPr>
          <w:color w:val="auto"/>
          <w:spacing w:val="-11"/>
          <w:sz w:val="24"/>
          <w:szCs w:val="24"/>
          <w:highlight w:val="none"/>
        </w:rPr>
        <w:t xml:space="preserve"> </w:t>
      </w:r>
      <w:r>
        <w:rPr>
          <w:color w:val="auto"/>
          <w:sz w:val="24"/>
          <w:szCs w:val="24"/>
          <w:highlight w:val="none"/>
        </w:rPr>
        <w:t>7</w:t>
      </w:r>
      <w:r>
        <w:rPr>
          <w:color w:val="auto"/>
          <w:spacing w:val="-14"/>
          <w:sz w:val="24"/>
          <w:szCs w:val="24"/>
          <w:highlight w:val="none"/>
        </w:rPr>
        <w:t xml:space="preserve"> </w:t>
      </w:r>
      <w:r>
        <w:rPr>
          <w:rFonts w:hint="eastAsia"/>
          <w:color w:val="auto"/>
          <w:spacing w:val="-14"/>
          <w:sz w:val="24"/>
          <w:szCs w:val="24"/>
          <w:highlight w:val="none"/>
        </w:rPr>
        <w:t>日，如无提出</w:t>
      </w:r>
      <w:r>
        <w:rPr>
          <w:rFonts w:hint="eastAsia"/>
          <w:color w:val="auto"/>
          <w:sz w:val="24"/>
          <w:szCs w:val="24"/>
          <w:highlight w:val="none"/>
        </w:rPr>
        <w:t>异议，视为质量合格。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五、双方权利与义务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楷体" w:hAnsi="楷体" w:eastAsia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/>
          <w:color w:val="auto"/>
          <w:sz w:val="24"/>
          <w:szCs w:val="24"/>
          <w:highlight w:val="none"/>
        </w:rPr>
        <w:t>（一）甲方权利与义务</w:t>
      </w:r>
    </w:p>
    <w:p>
      <w:pPr>
        <w:pStyle w:val="2"/>
        <w:kinsoku w:val="0"/>
        <w:overflowPunct w:val="0"/>
        <w:snapToGrid w:val="0"/>
        <w:spacing w:line="400" w:lineRule="exact"/>
        <w:ind w:left="353" w:right="283" w:firstLine="480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1.</w:t>
      </w:r>
      <w:r>
        <w:rPr>
          <w:rFonts w:hint="eastAsia"/>
          <w:color w:val="auto"/>
          <w:sz w:val="24"/>
          <w:szCs w:val="24"/>
          <w:highlight w:val="none"/>
        </w:rPr>
        <w:t>甲方须如实向乙方申报服务田块的实际面积，如乙方发现甲方申报面积小于实际面积，要及时与甲方沟通协商。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2.</w:t>
      </w:r>
      <w:r>
        <w:rPr>
          <w:rFonts w:hint="eastAsia"/>
          <w:color w:val="auto"/>
          <w:sz w:val="24"/>
          <w:szCs w:val="24"/>
          <w:highlight w:val="none"/>
        </w:rPr>
        <w:t>甲方需做好乙方提出的与防治技术密切关联的相关田间管理措施。</w:t>
      </w:r>
    </w:p>
    <w:p>
      <w:pPr>
        <w:pStyle w:val="7"/>
        <w:numPr>
          <w:ilvl w:val="0"/>
          <w:numId w:val="1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2"/>
          <w:highlight w:val="none"/>
        </w:rPr>
        <w:t>甲方需为乙方作业提供必要的环境情况说明</w:t>
      </w:r>
      <w:r>
        <w:rPr>
          <w:rFonts w:hint="eastAsia"/>
          <w:color w:val="auto"/>
          <w:highlight w:val="none"/>
        </w:rPr>
        <w:t>（</w:t>
      </w:r>
      <w:r>
        <w:rPr>
          <w:rFonts w:hint="eastAsia"/>
          <w:color w:val="auto"/>
          <w:spacing w:val="-3"/>
          <w:highlight w:val="none"/>
        </w:rPr>
        <w:t>包括不限于周边敏感作物、鱼塘</w:t>
      </w:r>
      <w:r>
        <w:rPr>
          <w:rFonts w:hint="eastAsia"/>
          <w:color w:val="auto"/>
          <w:highlight w:val="none"/>
        </w:rPr>
        <w:t>虾塘等敏感区域、禁飞区域）、病虫害发生史、水稻品种和插植时间等信息。</w:t>
      </w:r>
    </w:p>
    <w:p>
      <w:pPr>
        <w:pStyle w:val="7"/>
        <w:numPr>
          <w:ilvl w:val="0"/>
          <w:numId w:val="1"/>
        </w:numPr>
        <w:tabs>
          <w:tab w:val="left" w:pos="1075"/>
        </w:tabs>
        <w:kinsoku w:val="0"/>
        <w:overflowPunct w:val="0"/>
        <w:snapToGrid w:val="0"/>
        <w:spacing w:line="400" w:lineRule="exact"/>
        <w:ind w:left="1074" w:right="0" w:hanging="242"/>
        <w:rPr>
          <w:color w:val="auto"/>
          <w:spacing w:val="-10"/>
          <w:highlight w:val="none"/>
        </w:rPr>
      </w:pPr>
      <w:r>
        <w:rPr>
          <w:rFonts w:hint="eastAsia"/>
          <w:color w:val="auto"/>
          <w:spacing w:val="-5"/>
          <w:highlight w:val="none"/>
        </w:rPr>
        <w:t>甲方对防治效果有异议的，应在施药后</w:t>
      </w:r>
      <w:r>
        <w:rPr>
          <w:color w:val="auto"/>
          <w:spacing w:val="-5"/>
          <w:highlight w:val="none"/>
        </w:rPr>
        <w:t xml:space="preserve"> </w:t>
      </w:r>
      <w:r>
        <w:rPr>
          <w:color w:val="auto"/>
          <w:highlight w:val="none"/>
        </w:rPr>
        <w:t>7</w:t>
      </w:r>
      <w:r>
        <w:rPr>
          <w:color w:val="auto"/>
          <w:spacing w:val="-10"/>
          <w:highlight w:val="none"/>
        </w:rPr>
        <w:t xml:space="preserve"> </w:t>
      </w:r>
      <w:r>
        <w:rPr>
          <w:rFonts w:hint="eastAsia"/>
          <w:color w:val="auto"/>
          <w:spacing w:val="-10"/>
          <w:highlight w:val="none"/>
        </w:rPr>
        <w:t>天内通知乙方，如属乙方责任，且可</w:t>
      </w:r>
    </w:p>
    <w:p>
      <w:pPr>
        <w:pStyle w:val="2"/>
        <w:kinsoku w:val="0"/>
        <w:overflowPunct w:val="0"/>
        <w:snapToGrid w:val="0"/>
        <w:spacing w:line="400" w:lineRule="exact"/>
        <w:ind w:left="353" w:right="283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以再次施药防治的，乙方应即刻开展补防；如甲乙双方协商未果，应在药后</w:t>
      </w:r>
      <w:r>
        <w:rPr>
          <w:color w:val="auto"/>
          <w:sz w:val="24"/>
          <w:szCs w:val="24"/>
          <w:highlight w:val="none"/>
        </w:rPr>
        <w:t xml:space="preserve"> 10 </w:t>
      </w:r>
      <w:r>
        <w:rPr>
          <w:rFonts w:hint="eastAsia"/>
          <w:color w:val="auto"/>
          <w:sz w:val="24"/>
          <w:szCs w:val="24"/>
          <w:highlight w:val="none"/>
        </w:rPr>
        <w:t>天内向县级植保机构申请专家鉴定，明确责任。</w:t>
      </w:r>
    </w:p>
    <w:p>
      <w:pPr>
        <w:pStyle w:val="7"/>
        <w:numPr>
          <w:ilvl w:val="0"/>
          <w:numId w:val="1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4"/>
          <w:highlight w:val="none"/>
        </w:rPr>
        <w:t>甲方有检查服务效果的义务，及时向乙方通报防治作业情况，积极配合乙方采</w:t>
      </w:r>
      <w:r>
        <w:rPr>
          <w:rFonts w:hint="eastAsia"/>
          <w:color w:val="auto"/>
          <w:highlight w:val="none"/>
        </w:rPr>
        <w:t>取补防措施。</w:t>
      </w:r>
    </w:p>
    <w:p>
      <w:pPr>
        <w:pStyle w:val="7"/>
        <w:numPr>
          <w:ilvl w:val="0"/>
          <w:numId w:val="1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4"/>
          <w:highlight w:val="none"/>
        </w:rPr>
        <w:t>按本合同约定按时支付合同款项。如甲方一方人数较多，按每个主体的金额付</w:t>
      </w:r>
      <w:r>
        <w:rPr>
          <w:rFonts w:hint="eastAsia"/>
          <w:color w:val="auto"/>
          <w:highlight w:val="none"/>
        </w:rPr>
        <w:t>款，其他主体未按约定付款的不得认为已按约定付款方违约。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楷体" w:hAnsi="楷体" w:eastAsia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/>
          <w:color w:val="auto"/>
          <w:sz w:val="24"/>
          <w:szCs w:val="24"/>
          <w:highlight w:val="none"/>
        </w:rPr>
        <w:t>（二）乙方权利与义务</w:t>
      </w:r>
    </w:p>
    <w:p>
      <w:pPr>
        <w:pStyle w:val="7"/>
        <w:numPr>
          <w:ilvl w:val="0"/>
          <w:numId w:val="2"/>
        </w:numPr>
        <w:tabs>
          <w:tab w:val="left" w:pos="1075"/>
        </w:tabs>
        <w:kinsoku w:val="0"/>
        <w:overflowPunct w:val="0"/>
        <w:snapToGrid w:val="0"/>
        <w:spacing w:line="400" w:lineRule="exact"/>
        <w:ind w:left="329" w:right="220" w:firstLine="480"/>
        <w:rPr>
          <w:color w:val="auto"/>
          <w:sz w:val="20"/>
          <w:szCs w:val="20"/>
          <w:highlight w:val="none"/>
        </w:rPr>
      </w:pPr>
      <w:r>
        <w:rPr>
          <w:rFonts w:hint="eastAsia"/>
          <w:color w:val="auto"/>
          <w:spacing w:val="-14"/>
          <w:highlight w:val="none"/>
        </w:rPr>
        <w:t>乙方对本合同第一、二条约定的服务田块、内容选择对口药剂开展病虫害防治，</w:t>
      </w:r>
      <w:r>
        <w:rPr>
          <w:color w:val="auto"/>
          <w:spacing w:val="-14"/>
          <w:highlight w:val="none"/>
        </w:rPr>
        <w:t xml:space="preserve"> </w:t>
      </w:r>
      <w:r>
        <w:rPr>
          <w:rFonts w:hint="eastAsia"/>
          <w:color w:val="auto"/>
          <w:spacing w:val="-4"/>
          <w:highlight w:val="none"/>
        </w:rPr>
        <w:t>在水稻封行期至黄熟期，同一类型田块每</w:t>
      </w:r>
      <w:r>
        <w:rPr>
          <w:color w:val="auto"/>
          <w:spacing w:val="-4"/>
          <w:highlight w:val="none"/>
        </w:rPr>
        <w:t xml:space="preserve"> </w:t>
      </w:r>
      <w:r>
        <w:rPr>
          <w:color w:val="auto"/>
          <w:highlight w:val="none"/>
        </w:rPr>
        <w:t>5-7</w:t>
      </w:r>
      <w:r>
        <w:rPr>
          <w:color w:val="auto"/>
          <w:spacing w:val="-8"/>
          <w:highlight w:val="none"/>
        </w:rPr>
        <w:t xml:space="preserve"> </w:t>
      </w:r>
      <w:r>
        <w:rPr>
          <w:rFonts w:hint="eastAsia"/>
          <w:color w:val="auto"/>
          <w:spacing w:val="-8"/>
          <w:highlight w:val="none"/>
        </w:rPr>
        <w:t>天开展一次巡田。其中：钻蛀性螟虫、</w:t>
      </w:r>
      <w:r>
        <w:rPr>
          <w:rFonts w:hint="eastAsia"/>
          <w:color w:val="auto"/>
          <w:spacing w:val="-11"/>
          <w:highlight w:val="none"/>
        </w:rPr>
        <w:t>稻纵卷叶螟、稻飞虱、纹枯病防效</w:t>
      </w:r>
      <w:r>
        <w:rPr>
          <w:color w:val="auto"/>
          <w:spacing w:val="-11"/>
          <w:highlight w:val="none"/>
        </w:rPr>
        <w:t xml:space="preserve"> </w:t>
      </w:r>
      <w:r>
        <w:rPr>
          <w:color w:val="auto"/>
          <w:highlight w:val="none"/>
        </w:rPr>
        <w:t>90%</w:t>
      </w:r>
      <w:r>
        <w:rPr>
          <w:rFonts w:hint="eastAsia"/>
          <w:color w:val="auto"/>
          <w:highlight w:val="none"/>
        </w:rPr>
        <w:t>以上，稻谷农药残留不超标。若达不到防治效</w:t>
      </w:r>
      <w:r>
        <w:rPr>
          <w:rFonts w:hint="eastAsia"/>
          <w:color w:val="auto"/>
          <w:spacing w:val="-9"/>
          <w:highlight w:val="none"/>
        </w:rPr>
        <w:t>果，甲方必须在收割前</w:t>
      </w:r>
      <w:r>
        <w:rPr>
          <w:color w:val="auto"/>
          <w:spacing w:val="-9"/>
          <w:highlight w:val="none"/>
        </w:rPr>
        <w:t xml:space="preserve"> </w:t>
      </w:r>
      <w:r>
        <w:rPr>
          <w:color w:val="auto"/>
          <w:highlight w:val="none"/>
        </w:rPr>
        <w:t>7</w:t>
      </w:r>
      <w:r>
        <w:rPr>
          <w:color w:val="auto"/>
          <w:spacing w:val="-10"/>
          <w:highlight w:val="none"/>
        </w:rPr>
        <w:t xml:space="preserve"> </w:t>
      </w:r>
      <w:r>
        <w:rPr>
          <w:rFonts w:hint="eastAsia"/>
          <w:color w:val="auto"/>
          <w:spacing w:val="-10"/>
          <w:highlight w:val="none"/>
        </w:rPr>
        <w:t>天提出书面赔偿要求，经县级以上植保机构现场鉴定后，优先向保险公司申请赔付，保险公司不赔偿或者不足部分再由乙方承担。</w:t>
      </w:r>
    </w:p>
    <w:p>
      <w:pPr>
        <w:pStyle w:val="7"/>
        <w:numPr>
          <w:ilvl w:val="0"/>
          <w:numId w:val="2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3"/>
          <w:highlight w:val="none"/>
        </w:rPr>
        <w:t>乙方应当告知甲方防治方案以及需甲方配合的相关田间管理措施，包括但不限</w:t>
      </w:r>
      <w:r>
        <w:rPr>
          <w:rFonts w:hint="eastAsia"/>
          <w:color w:val="auto"/>
          <w:highlight w:val="none"/>
        </w:rPr>
        <w:t>于：施药前（后）田块是否需要排（灌）水等。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3.</w:t>
      </w:r>
      <w:r>
        <w:rPr>
          <w:rFonts w:hint="eastAsia"/>
          <w:color w:val="auto"/>
          <w:sz w:val="24"/>
          <w:szCs w:val="24"/>
          <w:highlight w:val="none"/>
        </w:rPr>
        <w:t>乙方负责回收承包服务田块面积内使用农药的包装物。</w:t>
      </w:r>
    </w:p>
    <w:p>
      <w:pPr>
        <w:pStyle w:val="7"/>
        <w:numPr>
          <w:ilvl w:val="0"/>
          <w:numId w:val="3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4"/>
          <w:highlight w:val="none"/>
        </w:rPr>
        <w:t>乙方对全程承包的病虫防治有决策权，对发生程度未达到</w:t>
      </w:r>
      <w:r>
        <w:rPr>
          <w:color w:val="auto"/>
          <w:spacing w:val="-4"/>
          <w:highlight w:val="none"/>
        </w:rPr>
        <w:t xml:space="preserve"> </w:t>
      </w:r>
      <w:r>
        <w:rPr>
          <w:color w:val="auto"/>
          <w:highlight w:val="none"/>
        </w:rPr>
        <w:t>3</w:t>
      </w:r>
      <w:r>
        <w:rPr>
          <w:color w:val="auto"/>
          <w:spacing w:val="-36"/>
          <w:highlight w:val="none"/>
        </w:rPr>
        <w:t xml:space="preserve"> </w:t>
      </w:r>
      <w:r>
        <w:rPr>
          <w:rFonts w:hint="eastAsia"/>
          <w:color w:val="auto"/>
          <w:spacing w:val="-36"/>
          <w:highlight w:val="none"/>
        </w:rPr>
        <w:t>级</w:t>
      </w:r>
      <w:r>
        <w:rPr>
          <w:rFonts w:hint="eastAsia"/>
          <w:color w:val="auto"/>
          <w:highlight w:val="none"/>
        </w:rPr>
        <w:t>（中等发生</w:t>
      </w:r>
      <w:r>
        <w:rPr>
          <w:rFonts w:hint="eastAsia"/>
          <w:color w:val="auto"/>
          <w:spacing w:val="-12"/>
          <w:highlight w:val="none"/>
        </w:rPr>
        <w:t>）</w:t>
      </w:r>
      <w:r>
        <w:rPr>
          <w:rFonts w:hint="eastAsia"/>
          <w:color w:val="auto"/>
          <w:spacing w:val="-17"/>
          <w:highlight w:val="none"/>
        </w:rPr>
        <w:t>的</w:t>
      </w:r>
      <w:r>
        <w:rPr>
          <w:rFonts w:hint="eastAsia"/>
          <w:color w:val="auto"/>
          <w:highlight w:val="none"/>
        </w:rPr>
        <w:t>病虫，乙方可对该田块进行挑治或不安排防治。</w:t>
      </w:r>
    </w:p>
    <w:p>
      <w:pPr>
        <w:pStyle w:val="7"/>
        <w:numPr>
          <w:ilvl w:val="0"/>
          <w:numId w:val="3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4"/>
          <w:highlight w:val="none"/>
        </w:rPr>
        <w:t>乙方防治不当引起的损失由乙方负责，包括但不限于：使用假冒伪劣农药，药</w:t>
      </w:r>
      <w:r>
        <w:rPr>
          <w:rFonts w:hint="eastAsia"/>
          <w:color w:val="auto"/>
          <w:highlight w:val="none"/>
        </w:rPr>
        <w:t>剂选择不对口，防治适期选择不准，药剂使用方法不科学，重喷、漏喷等。</w:t>
      </w:r>
    </w:p>
    <w:p>
      <w:pPr>
        <w:pStyle w:val="7"/>
        <w:numPr>
          <w:ilvl w:val="0"/>
          <w:numId w:val="3"/>
        </w:numPr>
        <w:tabs>
          <w:tab w:val="left" w:pos="1075"/>
        </w:tabs>
        <w:kinsoku w:val="0"/>
        <w:overflowPunct w:val="0"/>
        <w:snapToGrid w:val="0"/>
        <w:spacing w:line="400" w:lineRule="exact"/>
        <w:ind w:firstLine="480"/>
        <w:rPr>
          <w:color w:val="auto"/>
          <w:highlight w:val="none"/>
        </w:rPr>
      </w:pPr>
      <w:r>
        <w:rPr>
          <w:rFonts w:hint="eastAsia"/>
          <w:color w:val="auto"/>
          <w:spacing w:val="-3"/>
          <w:highlight w:val="none"/>
        </w:rPr>
        <w:t>乙方应对投入使用的机械及参加作业的工作人员规范管理，在作业过程中造成</w:t>
      </w:r>
      <w:r>
        <w:rPr>
          <w:rFonts w:hint="eastAsia"/>
          <w:color w:val="auto"/>
          <w:highlight w:val="none"/>
        </w:rPr>
        <w:t>人员伤害、物品损坏以及其他损失的，由乙方负责承担。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7.</w:t>
      </w:r>
      <w:r>
        <w:rPr>
          <w:rFonts w:hint="eastAsia"/>
          <w:color w:val="auto"/>
          <w:sz w:val="24"/>
          <w:szCs w:val="24"/>
          <w:highlight w:val="none"/>
        </w:rPr>
        <w:t>乙方作业机械现场施工安全及财产安全工作由乙方负责。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z w:val="24"/>
          <w:szCs w:val="24"/>
          <w:highlight w:val="none"/>
        </w:rPr>
      </w:pPr>
      <w:r>
        <w:rPr>
          <w:color w:val="auto"/>
          <w:sz w:val="24"/>
          <w:szCs w:val="24"/>
          <w:highlight w:val="none"/>
        </w:rPr>
        <w:t>8.</w:t>
      </w:r>
      <w:r>
        <w:rPr>
          <w:rFonts w:hint="eastAsia"/>
          <w:color w:val="auto"/>
          <w:sz w:val="24"/>
          <w:szCs w:val="24"/>
          <w:highlight w:val="none"/>
        </w:rPr>
        <w:t>如由乙方的原因导致的其他纠纷由乙方承担责任。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六、责任免除</w:t>
      </w:r>
    </w:p>
    <w:p>
      <w:pPr>
        <w:pStyle w:val="2"/>
        <w:kinsoku w:val="0"/>
        <w:overflowPunct w:val="0"/>
        <w:snapToGrid w:val="0"/>
        <w:spacing w:line="400" w:lineRule="exact"/>
        <w:ind w:left="833" w:right="34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以下原因造成的水稻产量损失，乙方不承担责任。</w:t>
      </w:r>
      <w:r>
        <w:rPr>
          <w:color w:val="auto"/>
          <w:sz w:val="24"/>
          <w:szCs w:val="24"/>
          <w:highlight w:val="none"/>
        </w:rPr>
        <w:t xml:space="preserve">                        </w:t>
      </w:r>
    </w:p>
    <w:p>
      <w:pPr>
        <w:pStyle w:val="2"/>
        <w:kinsoku w:val="0"/>
        <w:overflowPunct w:val="0"/>
        <w:snapToGrid w:val="0"/>
        <w:spacing w:line="400" w:lineRule="exact"/>
        <w:ind w:left="352" w:right="340" w:firstLine="480" w:firstLineChars="20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（一）</w:t>
      </w:r>
      <w:r>
        <w:rPr>
          <w:rFonts w:hint="eastAsia"/>
          <w:color w:val="auto"/>
          <w:spacing w:val="-3"/>
          <w:sz w:val="24"/>
          <w:szCs w:val="24"/>
          <w:highlight w:val="none"/>
        </w:rPr>
        <w:t>对于本合同第二条约定的服务内容中次要病虫害或与气候条件、品种抗性等关</w:t>
      </w:r>
      <w:r>
        <w:rPr>
          <w:rFonts w:hint="eastAsia"/>
          <w:color w:val="auto"/>
          <w:sz w:val="24"/>
          <w:szCs w:val="24"/>
          <w:highlight w:val="none"/>
        </w:rPr>
        <w:t>系密切的，当前技术水平难以有效防治的病虫害，例如稻瘟病（穗颈瘟）、跗线螨、水稻细菌性条斑病等，乙方已经选择对口药剂开展科学防治的。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pacing w:val="-12"/>
          <w:sz w:val="24"/>
          <w:szCs w:val="24"/>
          <w:highlight w:val="none"/>
        </w:rPr>
      </w:pPr>
      <w:r>
        <w:rPr>
          <w:rFonts w:hint="eastAsia"/>
          <w:color w:val="auto"/>
          <w:spacing w:val="-4"/>
          <w:sz w:val="24"/>
          <w:szCs w:val="24"/>
          <w:highlight w:val="none"/>
        </w:rPr>
        <w:t>（二）</w:t>
      </w:r>
      <w:r>
        <w:rPr>
          <w:rFonts w:hint="eastAsia"/>
          <w:color w:val="auto"/>
          <w:spacing w:val="-12"/>
          <w:sz w:val="24"/>
          <w:szCs w:val="24"/>
          <w:highlight w:val="none"/>
        </w:rPr>
        <w:t>因洪涝、干旱、冷害、污染、除草剂残留累积等人力不可抗拒的因素造成的损失。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（三）甲方申报面积小于实际服务面积而影响防治效果所造成的损失。</w:t>
      </w:r>
    </w:p>
    <w:p>
      <w:pPr>
        <w:pStyle w:val="7"/>
        <w:tabs>
          <w:tab w:val="left" w:pos="1075"/>
        </w:tabs>
        <w:kinsoku w:val="0"/>
        <w:overflowPunct w:val="0"/>
        <w:snapToGrid w:val="0"/>
        <w:spacing w:line="400" w:lineRule="exact"/>
        <w:ind w:left="352" w:firstLine="468" w:firstLineChars="200"/>
        <w:rPr>
          <w:color w:val="auto"/>
          <w:highlight w:val="none"/>
        </w:rPr>
      </w:pPr>
      <w:r>
        <w:rPr>
          <w:rFonts w:hint="eastAsia"/>
          <w:color w:val="auto"/>
          <w:spacing w:val="-3"/>
          <w:highlight w:val="none"/>
        </w:rPr>
        <w:t>（四）甲方未按乙方要求做好与防治技术密切关联的相关田间管理措施的，包括但不</w:t>
      </w:r>
      <w:r>
        <w:rPr>
          <w:rFonts w:hint="eastAsia"/>
          <w:color w:val="auto"/>
          <w:highlight w:val="none"/>
        </w:rPr>
        <w:t>限于：施药前（后）擅自排（灌）田块水等。</w:t>
      </w:r>
    </w:p>
    <w:p>
      <w:pPr>
        <w:pStyle w:val="7"/>
        <w:tabs>
          <w:tab w:val="left" w:pos="1075"/>
        </w:tabs>
        <w:kinsoku w:val="0"/>
        <w:overflowPunct w:val="0"/>
        <w:snapToGrid w:val="0"/>
        <w:spacing w:line="400" w:lineRule="exact"/>
        <w:ind w:left="352" w:firstLine="432" w:firstLineChars="200"/>
        <w:rPr>
          <w:color w:val="auto"/>
          <w:highlight w:val="none"/>
        </w:rPr>
      </w:pPr>
      <w:r>
        <w:rPr>
          <w:rFonts w:hint="eastAsia"/>
          <w:color w:val="auto"/>
          <w:spacing w:val="-12"/>
          <w:highlight w:val="none"/>
        </w:rPr>
        <w:t>（五）甲方不按合同约定时间支付服务费的，乙方暂停提供服务而造成的水稻减产损失。</w:t>
      </w:r>
    </w:p>
    <w:p>
      <w:pPr>
        <w:pStyle w:val="7"/>
        <w:tabs>
          <w:tab w:val="left" w:pos="1075"/>
        </w:tabs>
        <w:kinsoku w:val="0"/>
        <w:overflowPunct w:val="0"/>
        <w:snapToGrid w:val="0"/>
        <w:spacing w:line="400" w:lineRule="exact"/>
        <w:ind w:firstLine="464" w:firstLineChars="200"/>
        <w:rPr>
          <w:color w:val="auto"/>
          <w:spacing w:val="-4"/>
          <w:highlight w:val="none"/>
        </w:rPr>
      </w:pPr>
      <w:r>
        <w:rPr>
          <w:rFonts w:hint="eastAsia"/>
          <w:color w:val="auto"/>
          <w:spacing w:val="-4"/>
          <w:highlight w:val="none"/>
        </w:rPr>
        <w:t>（六）如甲方一方人数较多，按每个主体的实际情况确定乙方是否免责。不得以甲</w:t>
      </w:r>
    </w:p>
    <w:p>
      <w:pPr>
        <w:pStyle w:val="7"/>
        <w:tabs>
          <w:tab w:val="left" w:pos="1075"/>
        </w:tabs>
        <w:kinsoku w:val="0"/>
        <w:overflowPunct w:val="0"/>
        <w:snapToGrid w:val="0"/>
        <w:spacing w:line="400" w:lineRule="exact"/>
        <w:ind w:left="0" w:firstLine="348" w:firstLineChars="150"/>
        <w:rPr>
          <w:color w:val="auto"/>
          <w:highlight w:val="none"/>
        </w:rPr>
      </w:pPr>
      <w:r>
        <w:rPr>
          <w:rFonts w:hint="eastAsia"/>
          <w:color w:val="auto"/>
          <w:spacing w:val="-4"/>
          <w:highlight w:val="none"/>
        </w:rPr>
        <w:t>方</w:t>
      </w:r>
      <w:r>
        <w:rPr>
          <w:rFonts w:hint="eastAsia"/>
          <w:color w:val="auto"/>
          <w:highlight w:val="none"/>
        </w:rPr>
        <w:t>有一人不符合上述原因的免除乙方的全部责任。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七、争议解决方式</w:t>
      </w:r>
    </w:p>
    <w:p>
      <w:pPr>
        <w:pStyle w:val="2"/>
        <w:kinsoku w:val="0"/>
        <w:overflowPunct w:val="0"/>
        <w:snapToGrid w:val="0"/>
        <w:spacing w:line="400" w:lineRule="exact"/>
        <w:ind w:left="353" w:right="337" w:firstLine="48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pacing w:val="-7"/>
          <w:sz w:val="24"/>
          <w:szCs w:val="24"/>
          <w:highlight w:val="none"/>
        </w:rPr>
        <w:t>以上合同条款，双方需共同遵守，如有纠纷双方协商解决，协商不成，甲、乙双</w:t>
      </w:r>
      <w:r>
        <w:rPr>
          <w:rFonts w:hint="eastAsia"/>
          <w:color w:val="auto"/>
          <w:sz w:val="24"/>
          <w:szCs w:val="24"/>
          <w:highlight w:val="none"/>
        </w:rPr>
        <w:t>方均可向服务所在地人民法院提起诉讼。</w:t>
      </w:r>
    </w:p>
    <w:p>
      <w:pPr>
        <w:pStyle w:val="2"/>
        <w:kinsoku w:val="0"/>
        <w:overflowPunct w:val="0"/>
        <w:snapToGrid w:val="0"/>
        <w:spacing w:line="400" w:lineRule="exact"/>
        <w:ind w:left="833"/>
        <w:rPr>
          <w:rFonts w:ascii="黑体" w:eastAsia="黑体" w:cs="黑体"/>
          <w:color w:val="auto"/>
          <w:sz w:val="24"/>
          <w:szCs w:val="24"/>
          <w:highlight w:val="none"/>
        </w:rPr>
      </w:pPr>
      <w:r>
        <w:rPr>
          <w:rFonts w:hint="eastAsia" w:ascii="黑体" w:eastAsia="黑体" w:cs="黑体"/>
          <w:color w:val="auto"/>
          <w:sz w:val="24"/>
          <w:szCs w:val="24"/>
          <w:highlight w:val="none"/>
        </w:rPr>
        <w:t>八、合同生效</w:t>
      </w:r>
    </w:p>
    <w:p>
      <w:pPr>
        <w:pStyle w:val="2"/>
        <w:kinsoku w:val="0"/>
        <w:overflowPunct w:val="0"/>
        <w:snapToGrid w:val="0"/>
        <w:spacing w:line="400" w:lineRule="exact"/>
        <w:ind w:left="353" w:right="340" w:firstLine="48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pacing w:val="-5"/>
          <w:sz w:val="24"/>
          <w:szCs w:val="24"/>
          <w:highlight w:val="none"/>
        </w:rPr>
        <w:t>本合同一式</w:t>
      </w:r>
      <w:r>
        <w:rPr>
          <w:rFonts w:hint="eastAsia"/>
          <w:color w:val="auto"/>
          <w:spacing w:val="-5"/>
          <w:sz w:val="24"/>
          <w:szCs w:val="24"/>
          <w:highlight w:val="none"/>
          <w:lang w:eastAsia="zh-CN"/>
        </w:rPr>
        <w:t>四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份，甲方一份、乙方</w:t>
      </w:r>
      <w:r>
        <w:rPr>
          <w:rFonts w:hint="eastAsia"/>
          <w:color w:val="auto"/>
          <w:spacing w:val="-5"/>
          <w:sz w:val="24"/>
          <w:szCs w:val="24"/>
          <w:highlight w:val="none"/>
          <w:lang w:eastAsia="zh-CN"/>
        </w:rPr>
        <w:t>三</w:t>
      </w:r>
      <w:r>
        <w:rPr>
          <w:rFonts w:hint="eastAsia"/>
          <w:color w:val="auto"/>
          <w:spacing w:val="-5"/>
          <w:sz w:val="24"/>
          <w:szCs w:val="24"/>
          <w:highlight w:val="none"/>
        </w:rPr>
        <w:t>份，具有同等法律效力，双方代表签字</w:t>
      </w:r>
      <w:r>
        <w:rPr>
          <w:rFonts w:hint="eastAsia"/>
          <w:color w:val="auto"/>
          <w:sz w:val="24"/>
          <w:szCs w:val="24"/>
          <w:highlight w:val="none"/>
        </w:rPr>
        <w:t>（</w:t>
      </w:r>
      <w:r>
        <w:rPr>
          <w:rFonts w:hint="eastAsia"/>
          <w:color w:val="auto"/>
          <w:spacing w:val="-13"/>
          <w:sz w:val="24"/>
          <w:szCs w:val="24"/>
          <w:highlight w:val="none"/>
        </w:rPr>
        <w:t>盖</w:t>
      </w:r>
      <w:r>
        <w:rPr>
          <w:rFonts w:hint="eastAsia"/>
          <w:color w:val="auto"/>
          <w:sz w:val="24"/>
          <w:szCs w:val="24"/>
          <w:highlight w:val="none"/>
        </w:rPr>
        <w:t>章）之日起生效。</w:t>
      </w:r>
    </w:p>
    <w:p>
      <w:pPr>
        <w:pStyle w:val="2"/>
        <w:tabs>
          <w:tab w:val="left" w:pos="6833"/>
        </w:tabs>
        <w:kinsoku w:val="0"/>
        <w:overflowPunct w:val="0"/>
        <w:snapToGrid w:val="0"/>
        <w:spacing w:line="400" w:lineRule="exact"/>
        <w:ind w:left="593" w:firstLine="240" w:firstLineChars="10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甲方（如甲方人数较多，可使用下页的签订表签名）：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乙方：</w:t>
      </w:r>
    </w:p>
    <w:p>
      <w:pPr>
        <w:pStyle w:val="2"/>
        <w:tabs>
          <w:tab w:val="left" w:pos="7440"/>
        </w:tabs>
        <w:kinsoku w:val="0"/>
        <w:overflowPunct w:val="0"/>
        <w:snapToGrid w:val="0"/>
        <w:spacing w:line="400" w:lineRule="exact"/>
        <w:ind w:firstLine="1440" w:firstLineChars="600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年    月    日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年    月    日</w:t>
      </w:r>
    </w:p>
    <w:p>
      <w:pPr>
        <w:pStyle w:val="2"/>
        <w:kinsoku w:val="0"/>
        <w:overflowPunct w:val="0"/>
        <w:rPr>
          <w:color w:val="auto"/>
          <w:sz w:val="18"/>
          <w:szCs w:val="18"/>
          <w:highlight w:val="none"/>
        </w:rPr>
      </w:pPr>
    </w:p>
    <w:p>
      <w:pPr>
        <w:pStyle w:val="2"/>
        <w:kinsoku w:val="0"/>
        <w:overflowPunct w:val="0"/>
        <w:ind w:right="323"/>
        <w:jc w:val="right"/>
        <w:rPr>
          <w:color w:val="auto"/>
          <w:w w:val="105"/>
          <w:sz w:val="27"/>
          <w:szCs w:val="27"/>
          <w:highlight w:val="none"/>
        </w:rPr>
        <w:sectPr>
          <w:pgSz w:w="11900" w:h="16840"/>
          <w:pgMar w:top="1600" w:right="1180" w:bottom="280" w:left="1180" w:header="720" w:footer="1587" w:gutter="0"/>
          <w:pgNumType w:fmt="numberInDash"/>
          <w:cols w:space="720" w:num="1"/>
          <w:docGrid w:linePitch="286" w:charSpace="0"/>
        </w:sectPr>
      </w:pPr>
    </w:p>
    <w:p>
      <w:pPr>
        <w:pStyle w:val="2"/>
        <w:kinsoku w:val="0"/>
        <w:overflowPunct w:val="0"/>
        <w:jc w:val="center"/>
        <w:rPr>
          <w:rFonts w:ascii="方正小标宋简体" w:eastAsia="方正小标宋简体"/>
          <w:color w:val="auto"/>
          <w:sz w:val="44"/>
          <w:szCs w:val="20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20"/>
          <w:highlight w:val="none"/>
        </w:rPr>
        <w:t>水稻病虫害专业化防治服务签订表</w:t>
      </w:r>
    </w:p>
    <w:p>
      <w:pPr>
        <w:pStyle w:val="2"/>
        <w:kinsoku w:val="0"/>
        <w:overflowPunct w:val="0"/>
        <w:jc w:val="center"/>
        <w:rPr>
          <w:rFonts w:hint="eastAsia" w:ascii="方正小标宋简体" w:eastAsia="方正小标宋简体"/>
          <w:color w:val="auto"/>
          <w:sz w:val="44"/>
          <w:szCs w:val="20"/>
          <w:highlight w:val="none"/>
        </w:rPr>
      </w:pPr>
    </w:p>
    <w:tbl>
      <w:tblPr>
        <w:tblStyle w:val="4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1348"/>
        <w:gridCol w:w="2015"/>
        <w:gridCol w:w="1385"/>
        <w:gridCol w:w="1228"/>
        <w:gridCol w:w="1345"/>
        <w:gridCol w:w="13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158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序号</w:t>
            </w: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户主</w:t>
            </w: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联系方式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104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面积（亩）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106" w:right="-29"/>
              <w:rPr>
                <w:rFonts w:ascii="黑体" w:eastAsia="黑体" w:cs="黑体"/>
                <w:color w:val="auto"/>
                <w:spacing w:val="-10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spacing w:val="-16"/>
                <w:highlight w:val="none"/>
              </w:rPr>
              <w:t>首付</w:t>
            </w:r>
            <w:r>
              <w:rPr>
                <w:rFonts w:hint="eastAsia" w:ascii="黑体" w:eastAsia="黑体" w:cs="黑体"/>
                <w:color w:val="auto"/>
                <w:highlight w:val="none"/>
              </w:rPr>
              <w:t>（元</w:t>
            </w:r>
            <w:r>
              <w:rPr>
                <w:rFonts w:hint="eastAsia" w:ascii="黑体" w:eastAsia="黑体" w:cs="黑体"/>
                <w:color w:val="auto"/>
                <w:spacing w:val="-10"/>
                <w:highlight w:val="none"/>
              </w:rPr>
              <w:t>）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ind w:left="106" w:right="-29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尾款（元）</w:t>
            </w: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"/>
              <w:rPr>
                <w:color w:val="auto"/>
                <w:sz w:val="21"/>
                <w:szCs w:val="21"/>
                <w:highlight w:val="none"/>
              </w:rPr>
            </w:pPr>
          </w:p>
          <w:p>
            <w:pPr>
              <w:pStyle w:val="6"/>
              <w:kinsoku w:val="0"/>
              <w:overflowPunct w:val="0"/>
              <w:spacing w:before="1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签名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0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9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9"/>
              <w:ind w:right="1804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              合计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jc w:val="center"/>
              <w:rPr>
                <w:rFonts w:asci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Times New Roman" w:cs="Times New Roman"/>
                <w:color w:val="auto"/>
                <w:sz w:val="22"/>
                <w:szCs w:val="22"/>
                <w:highlight w:val="none"/>
              </w:rPr>
              <w:t>---</w:t>
            </w:r>
          </w:p>
        </w:tc>
      </w:tr>
    </w:tbl>
    <w:p>
      <w:pPr>
        <w:pStyle w:val="2"/>
        <w:kinsoku w:val="0"/>
        <w:overflowPunct w:val="0"/>
        <w:spacing w:line="360" w:lineRule="auto"/>
        <w:rPr>
          <w:rFonts w:ascii="楷体" w:hAnsi="楷体" w:eastAsia="楷体" w:cs="Microsoft JhengHei"/>
          <w:bCs/>
          <w:color w:val="auto"/>
          <w:sz w:val="24"/>
          <w:szCs w:val="20"/>
          <w:highlight w:val="none"/>
        </w:rPr>
      </w:pPr>
      <w:r>
        <w:rPr>
          <w:rFonts w:hint="eastAsia" w:ascii="楷体" w:hAnsi="楷体" w:eastAsia="楷体" w:cs="Microsoft JhengHei"/>
          <w:bCs/>
          <w:color w:val="auto"/>
          <w:sz w:val="24"/>
          <w:szCs w:val="20"/>
          <w:highlight w:val="none"/>
        </w:rPr>
        <w:t>注：水稻病虫害专业化防治服务签订表适用整村推进服务对象，单个农户可以不用填写。</w:t>
      </w:r>
    </w:p>
    <w:p>
      <w:pPr>
        <w:pStyle w:val="2"/>
        <w:kinsoku w:val="0"/>
        <w:overflowPunct w:val="0"/>
        <w:spacing w:line="360" w:lineRule="auto"/>
        <w:rPr>
          <w:rFonts w:ascii="Microsoft JhengHei" w:cs="Microsoft JhengHei"/>
          <w:b/>
          <w:bCs/>
          <w:color w:val="auto"/>
          <w:sz w:val="13"/>
          <w:szCs w:val="13"/>
          <w:highlight w:val="none"/>
        </w:rPr>
      </w:pPr>
    </w:p>
    <w:p>
      <w:pPr>
        <w:pStyle w:val="2"/>
        <w:kinsoku w:val="0"/>
        <w:overflowPunct w:val="0"/>
        <w:spacing w:line="360" w:lineRule="auto"/>
        <w:rPr>
          <w:rFonts w:hint="eastAsia" w:ascii="Microsoft JhengHei" w:cs="Microsoft JhengHei"/>
          <w:b/>
          <w:bCs/>
          <w:color w:val="auto"/>
          <w:sz w:val="13"/>
          <w:szCs w:val="13"/>
          <w:highlight w:val="none"/>
        </w:rPr>
      </w:pPr>
    </w:p>
    <w:p>
      <w:pPr>
        <w:pStyle w:val="2"/>
        <w:tabs>
          <w:tab w:val="left" w:pos="4913"/>
        </w:tabs>
        <w:kinsoku w:val="0"/>
        <w:overflowPunct w:val="0"/>
        <w:spacing w:line="360" w:lineRule="auto"/>
        <w:ind w:right="2381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甲方：在上表“签名”栏签名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乙方：（盖章</w:t>
      </w:r>
      <w:r>
        <w:rPr>
          <w:rFonts w:hint="eastAsia"/>
          <w:color w:val="auto"/>
          <w:spacing w:val="-17"/>
          <w:sz w:val="24"/>
          <w:szCs w:val="24"/>
          <w:highlight w:val="none"/>
        </w:rPr>
        <w:t>）</w:t>
      </w:r>
    </w:p>
    <w:p>
      <w:pPr>
        <w:pStyle w:val="2"/>
        <w:tabs>
          <w:tab w:val="left" w:pos="6833"/>
          <w:tab w:val="left" w:pos="7433"/>
          <w:tab w:val="left" w:pos="8033"/>
        </w:tabs>
        <w:kinsoku w:val="0"/>
        <w:overflowPunct w:val="0"/>
        <w:spacing w:line="360" w:lineRule="auto"/>
        <w:ind w:left="4913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乙方法人签名：</w:t>
      </w:r>
      <w:r>
        <w:rPr>
          <w:color w:val="auto"/>
          <w:sz w:val="24"/>
          <w:szCs w:val="24"/>
          <w:highlight w:val="none"/>
        </w:rPr>
        <w:t xml:space="preserve"> </w:t>
      </w:r>
    </w:p>
    <w:p>
      <w:pPr>
        <w:pStyle w:val="2"/>
        <w:tabs>
          <w:tab w:val="left" w:pos="6833"/>
          <w:tab w:val="left" w:pos="7433"/>
          <w:tab w:val="left" w:pos="8160"/>
        </w:tabs>
        <w:kinsoku w:val="0"/>
        <w:overflowPunct w:val="0"/>
        <w:spacing w:line="360" w:lineRule="auto"/>
        <w:ind w:left="4913"/>
        <w:rPr>
          <w:color w:val="auto"/>
          <w:w w:val="105"/>
          <w:sz w:val="27"/>
          <w:szCs w:val="27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签订日期：</w:t>
      </w:r>
      <w:r>
        <w:rPr>
          <w:color w:val="auto"/>
          <w:sz w:val="24"/>
          <w:szCs w:val="24"/>
          <w:highlight w:val="none"/>
        </w:rPr>
        <w:t xml:space="preserve">    </w:t>
      </w:r>
      <w:r>
        <w:rPr>
          <w:rFonts w:hint="eastAsia"/>
          <w:color w:val="auto"/>
          <w:sz w:val="24"/>
          <w:szCs w:val="24"/>
          <w:highlight w:val="none"/>
        </w:rPr>
        <w:t>年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月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日</w:t>
      </w:r>
    </w:p>
    <w:p>
      <w:pPr>
        <w:pStyle w:val="2"/>
        <w:kinsoku w:val="0"/>
        <w:overflowPunct w:val="0"/>
        <w:ind w:left="329"/>
        <w:rPr>
          <w:color w:val="auto"/>
          <w:w w:val="105"/>
          <w:sz w:val="27"/>
          <w:szCs w:val="27"/>
          <w:highlight w:val="none"/>
        </w:rPr>
        <w:sectPr>
          <w:pgSz w:w="11900" w:h="16840"/>
          <w:pgMar w:top="1600" w:right="1180" w:bottom="280" w:left="1180" w:header="850" w:footer="1587" w:gutter="0"/>
          <w:pgNumType w:fmt="numberInDash"/>
          <w:cols w:space="720" w:num="1"/>
          <w:docGrid w:linePitch="286" w:charSpace="0"/>
        </w:sectPr>
      </w:pPr>
    </w:p>
    <w:p>
      <w:pPr>
        <w:rPr>
          <w:rFonts w:ascii="黑体" w:hAnsi="黑体" w:eastAsia="黑体" w:cs="黑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</w:t>
      </w:r>
      <w:r>
        <w:rPr>
          <w:rFonts w:ascii="黑体" w:hAnsi="黑体" w:eastAsia="黑体" w:cs="黑体"/>
          <w:color w:val="auto"/>
          <w:kern w:val="0"/>
          <w:sz w:val="32"/>
          <w:szCs w:val="32"/>
          <w:highlight w:val="none"/>
        </w:rPr>
        <w:t>3-3</w:t>
      </w:r>
    </w:p>
    <w:p>
      <w:pP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</w:pPr>
    </w:p>
    <w:p>
      <w:pPr>
        <w:jc w:val="center"/>
        <w:rPr>
          <w:rFonts w:hint="eastAsia" w:ascii="方正小标宋简体" w:hAnsi="宋体" w:eastAsia="方正小标宋简体" w:cs="华光大标宋_CNKI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_GBK" w:eastAsia="方正小标宋简体" w:cs="方正小标宋_GBK"/>
          <w:color w:val="auto"/>
          <w:kern w:val="0"/>
          <w:sz w:val="44"/>
          <w:szCs w:val="44"/>
          <w:highlight w:val="none"/>
        </w:rPr>
        <w:t>项目承诺书</w:t>
      </w:r>
    </w:p>
    <w:p>
      <w:pPr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（参考）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本人承诺参加《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水稻病虫害全程统防统治服务的耕地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，只申请本项目资金补助，不申请</w:t>
      </w:r>
      <w:r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参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与其他同类型涉农项目资金补助，否则自愿放弃享受《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水稻病虫害全程统防统治服务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资金补助资格，并承当相应一切责任。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承诺人（服务对象签名并按指模）：</w:t>
      </w:r>
    </w:p>
    <w:p>
      <w:pPr>
        <w:snapToGrid w:val="0"/>
        <w:spacing w:line="560" w:lineRule="exact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服务主体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（盖章）：</w:t>
      </w:r>
    </w:p>
    <w:p>
      <w:pPr>
        <w:snapToGrid w:val="0"/>
        <w:spacing w:line="560" w:lineRule="exact"/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snapToGrid w:val="0"/>
        <w:spacing w:line="560" w:lineRule="exact"/>
        <w:jc w:val="right"/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  <w:r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" w:hAnsi="仿宋" w:eastAsia="仿宋" w:cs="仿宋"/>
          <w:bCs/>
          <w:color w:val="auto"/>
          <w:kern w:val="0"/>
          <w:sz w:val="32"/>
          <w:szCs w:val="32"/>
          <w:highlight w:val="none"/>
        </w:rPr>
        <w:t>年    月    日</w:t>
      </w:r>
    </w:p>
    <w:p>
      <w:pPr>
        <w:jc w:val="right"/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jc w:val="right"/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jc w:val="right"/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jc w:val="both"/>
        <w:rPr>
          <w:rFonts w:ascii="仿宋" w:hAnsi="仿宋" w:eastAsia="仿宋" w:cs="仿宋"/>
          <w:bCs/>
          <w:color w:val="auto"/>
          <w:kern w:val="0"/>
          <w:sz w:val="32"/>
          <w:szCs w:val="32"/>
          <w:highlight w:val="none"/>
        </w:rPr>
      </w:pPr>
    </w:p>
    <w:p>
      <w:pPr>
        <w:pStyle w:val="2"/>
        <w:kinsoku w:val="0"/>
        <w:overflowPunct w:val="0"/>
        <w:ind w:left="329"/>
        <w:rPr>
          <w:rFonts w:hint="eastAsia"/>
          <w:color w:val="auto"/>
          <w:w w:val="105"/>
          <w:sz w:val="27"/>
          <w:szCs w:val="27"/>
          <w:highlight w:val="none"/>
        </w:rPr>
        <w:sectPr>
          <w:pgSz w:w="11900" w:h="16840"/>
          <w:pgMar w:top="1600" w:right="1180" w:bottom="280" w:left="1180" w:header="850" w:footer="1587" w:gutter="0"/>
          <w:pgNumType w:fmt="numberInDash"/>
          <w:cols w:space="720" w:num="1"/>
          <w:docGrid w:linePitch="286" w:charSpace="0"/>
        </w:sectPr>
      </w:pPr>
    </w:p>
    <w:p>
      <w:pPr>
        <w:pStyle w:val="2"/>
        <w:kinsoku w:val="0"/>
        <w:overflowPunct w:val="0"/>
        <w:rPr>
          <w:color w:val="auto"/>
          <w:highlight w:val="none"/>
        </w:rPr>
      </w:pPr>
      <w:r>
        <w:rPr>
          <w:rFonts w:hint="eastAsia" w:ascii="黑体" w:eastAsia="黑体" w:cs="黑体"/>
          <w:color w:val="auto"/>
          <w:highlight w:val="none"/>
        </w:rPr>
        <w:t>附件</w:t>
      </w:r>
      <w:r>
        <w:rPr>
          <w:rFonts w:ascii="黑体" w:eastAsia="黑体" w:cs="黑体"/>
          <w:color w:val="auto"/>
          <w:highlight w:val="none"/>
        </w:rPr>
        <w:t>3-4</w:t>
      </w:r>
    </w:p>
    <w:p>
      <w:pPr>
        <w:pStyle w:val="2"/>
        <w:kinsoku w:val="0"/>
        <w:overflowPunct w:val="0"/>
        <w:ind w:left="785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ind w:left="785"/>
        <w:rPr>
          <w:color w:val="auto"/>
          <w:sz w:val="20"/>
          <w:szCs w:val="20"/>
          <w:highlight w:val="none"/>
        </w:rPr>
      </w:pPr>
      <w:r>
        <w:rPr>
          <w:rFonts w:hint="eastAsia"/>
          <w:color w:val="auto"/>
          <w:sz w:val="20"/>
          <w:szCs w:val="20"/>
          <w:highlight w:val="none"/>
        </w:rPr>
        <w:drawing>
          <wp:inline distT="0" distB="0" distL="114300" distR="114300">
            <wp:extent cx="5068570" cy="267970"/>
            <wp:effectExtent l="0" t="0" r="6350" b="635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857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8"/>
        <w:rPr>
          <w:color w:val="auto"/>
          <w:sz w:val="17"/>
          <w:szCs w:val="17"/>
          <w:highlight w:val="none"/>
        </w:rPr>
      </w:pPr>
    </w:p>
    <w:p>
      <w:pPr>
        <w:pStyle w:val="2"/>
        <w:tabs>
          <w:tab w:val="left" w:pos="3953"/>
          <w:tab w:val="left" w:pos="7353"/>
        </w:tabs>
        <w:kinsoku w:val="0"/>
        <w:overflowPunct w:val="0"/>
        <w:spacing w:before="71" w:after="47"/>
        <w:ind w:left="353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作</w:t>
      </w:r>
      <w:r>
        <w:rPr>
          <w:rFonts w:hint="eastAsia"/>
          <w:color w:val="auto"/>
          <w:spacing w:val="5"/>
          <w:sz w:val="24"/>
          <w:szCs w:val="24"/>
          <w:highlight w:val="none"/>
        </w:rPr>
        <w:t>物</w:t>
      </w:r>
      <w:r>
        <w:rPr>
          <w:rFonts w:hint="eastAsia"/>
          <w:color w:val="auto"/>
          <w:sz w:val="24"/>
          <w:szCs w:val="24"/>
          <w:highlight w:val="none"/>
        </w:rPr>
        <w:t>：水稻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z w:val="24"/>
          <w:szCs w:val="24"/>
          <w:highlight w:val="none"/>
        </w:rPr>
        <w:t>巡</w:t>
      </w:r>
      <w:r>
        <w:rPr>
          <w:rFonts w:hint="eastAsia"/>
          <w:color w:val="auto"/>
          <w:spacing w:val="5"/>
          <w:sz w:val="24"/>
          <w:szCs w:val="24"/>
          <w:highlight w:val="none"/>
        </w:rPr>
        <w:t>查</w:t>
      </w:r>
      <w:r>
        <w:rPr>
          <w:rFonts w:hint="eastAsia"/>
          <w:color w:val="auto"/>
          <w:sz w:val="24"/>
          <w:szCs w:val="24"/>
          <w:highlight w:val="none"/>
        </w:rPr>
        <w:t>地点：</w:t>
      </w:r>
      <w:r>
        <w:rPr>
          <w:color w:val="auto"/>
          <w:sz w:val="24"/>
          <w:szCs w:val="24"/>
          <w:highlight w:val="none"/>
        </w:rPr>
        <w:tab/>
      </w:r>
      <w:r>
        <w:rPr>
          <w:rFonts w:hint="eastAsia"/>
          <w:color w:val="auto"/>
          <w:spacing w:val="3"/>
          <w:sz w:val="24"/>
          <w:szCs w:val="24"/>
          <w:highlight w:val="none"/>
        </w:rPr>
        <w:t>巡查</w:t>
      </w:r>
      <w:r>
        <w:rPr>
          <w:rFonts w:hint="eastAsia"/>
          <w:color w:val="auto"/>
          <w:sz w:val="24"/>
          <w:szCs w:val="24"/>
          <w:highlight w:val="none"/>
        </w:rPr>
        <w:t>人员：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2522"/>
        <w:gridCol w:w="2347"/>
        <w:gridCol w:w="27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1"/>
              <w:ind w:left="369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巡查时间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1"/>
              <w:ind w:left="188" w:right="180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病虫害名称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21"/>
              <w:ind w:left="437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>病虫害发生程度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insoku w:val="0"/>
              <w:overflowPunct w:val="0"/>
              <w:spacing w:before="121"/>
              <w:ind w:right="1155"/>
              <w:jc w:val="center"/>
              <w:rPr>
                <w:rFonts w:ascii="黑体" w:eastAsia="黑体" w:cs="黑体"/>
                <w:color w:val="auto"/>
                <w:highlight w:val="none"/>
              </w:rPr>
            </w:pPr>
            <w:r>
              <w:rPr>
                <w:rFonts w:hint="eastAsia" w:ascii="黑体" w:eastAsia="黑体" w:cs="黑体"/>
                <w:color w:val="auto"/>
                <w:highlight w:val="none"/>
              </w:rPr>
              <w:t xml:space="preserve">     </w:t>
            </w:r>
            <w:r>
              <w:rPr>
                <w:rFonts w:ascii="黑体" w:eastAsia="黑体" w:cs="黑体"/>
                <w:color w:val="auto"/>
                <w:highlight w:val="none"/>
              </w:rPr>
              <w:t xml:space="preserve">    </w:t>
            </w:r>
            <w:r>
              <w:rPr>
                <w:rFonts w:hint="eastAsia" w:ascii="黑体" w:eastAsia="黑体" w:cs="黑体"/>
                <w:color w:val="auto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5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5"/>
              <w:ind w:left="188" w:right="179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稻纵卷叶螟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5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tabs>
                <w:tab w:val="left" w:pos="3953"/>
                <w:tab w:val="left" w:pos="7353"/>
              </w:tabs>
              <w:kinsoku w:val="0"/>
              <w:overflowPunct w:val="0"/>
              <w:spacing w:before="71" w:after="47"/>
              <w:ind w:left="353"/>
              <w:rPr>
                <w:rFonts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5"/>
              <w:ind w:left="188" w:right="179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稻飞虱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5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tabs>
                <w:tab w:val="left" w:pos="3953"/>
                <w:tab w:val="left" w:pos="7353"/>
              </w:tabs>
              <w:kinsoku w:val="0"/>
              <w:overflowPunct w:val="0"/>
              <w:spacing w:before="71" w:after="47"/>
              <w:ind w:left="353"/>
              <w:rPr>
                <w:rFonts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5"/>
              <w:ind w:left="188" w:right="183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钻蛀性螟虫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5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tabs>
                <w:tab w:val="left" w:pos="3953"/>
                <w:tab w:val="left" w:pos="7353"/>
              </w:tabs>
              <w:kinsoku w:val="0"/>
              <w:overflowPunct w:val="0"/>
              <w:spacing w:before="71" w:after="47"/>
              <w:ind w:left="353"/>
              <w:rPr>
                <w:rFonts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65"/>
              <w:ind w:left="188" w:right="177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纹枯病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tabs>
                <w:tab w:val="left" w:pos="3953"/>
                <w:tab w:val="left" w:pos="7353"/>
              </w:tabs>
              <w:kinsoku w:val="0"/>
              <w:overflowPunct w:val="0"/>
              <w:spacing w:before="71" w:after="47"/>
              <w:ind w:left="353"/>
              <w:rPr>
                <w:rFonts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9"/>
              <w:ind w:left="188" w:right="177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白叶枯病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tabs>
                <w:tab w:val="left" w:pos="3953"/>
                <w:tab w:val="left" w:pos="7353"/>
              </w:tabs>
              <w:kinsoku w:val="0"/>
              <w:overflowPunct w:val="0"/>
              <w:spacing w:before="71" w:after="47"/>
              <w:ind w:left="353"/>
              <w:rPr>
                <w:rFonts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7"/>
              <w:ind w:left="187" w:right="183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······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highlight w:val="none"/>
              </w:rPr>
            </w:pPr>
          </w:p>
        </w:tc>
      </w:tr>
    </w:tbl>
    <w:p>
      <w:pPr>
        <w:pStyle w:val="2"/>
        <w:kinsoku w:val="0"/>
        <w:overflowPunct w:val="0"/>
        <w:ind w:left="352" w:right="335"/>
        <w:rPr>
          <w:rFonts w:ascii="楷体" w:hAnsi="楷体" w:eastAsia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/>
          <w:color w:val="auto"/>
          <w:w w:val="95"/>
          <w:sz w:val="24"/>
          <w:szCs w:val="24"/>
          <w:highlight w:val="none"/>
        </w:rPr>
        <w:t>备注：按照《农作物病虫</w:t>
      </w:r>
      <w:r>
        <w:rPr>
          <w:rFonts w:hint="eastAsia" w:ascii="楷体" w:hAnsi="楷体" w:eastAsia="楷体"/>
          <w:color w:val="auto"/>
          <w:w w:val="95"/>
          <w:sz w:val="24"/>
          <w:szCs w:val="24"/>
          <w:highlight w:val="none"/>
          <w:lang w:eastAsia="zh-CN"/>
        </w:rPr>
        <w:t>害</w:t>
      </w:r>
      <w:r>
        <w:rPr>
          <w:rFonts w:hint="eastAsia" w:ascii="楷体" w:hAnsi="楷体" w:eastAsia="楷体"/>
          <w:color w:val="auto"/>
          <w:w w:val="95"/>
          <w:sz w:val="24"/>
          <w:szCs w:val="24"/>
          <w:highlight w:val="none"/>
        </w:rPr>
        <w:t>测报技术规范》调查，计算病虫害发生为害程度，如：稻</w:t>
      </w:r>
      <w:r>
        <w:rPr>
          <w:rFonts w:hint="eastAsia" w:ascii="楷体" w:hAnsi="楷体" w:eastAsia="楷体"/>
          <w:color w:val="auto"/>
          <w:sz w:val="24"/>
          <w:szCs w:val="24"/>
          <w:highlight w:val="none"/>
        </w:rPr>
        <w:t>纵卷</w:t>
      </w:r>
    </w:p>
    <w:p>
      <w:pPr>
        <w:pStyle w:val="2"/>
        <w:kinsoku w:val="0"/>
        <w:overflowPunct w:val="0"/>
        <w:ind w:left="352" w:right="335" w:firstLine="720" w:firstLineChars="300"/>
        <w:rPr>
          <w:rFonts w:ascii="楷体" w:hAnsi="楷体" w:eastAsia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/>
          <w:color w:val="auto"/>
          <w:sz w:val="24"/>
          <w:szCs w:val="24"/>
          <w:highlight w:val="none"/>
        </w:rPr>
        <w:t>叶螟卷叶率，</w:t>
      </w:r>
      <w:r>
        <w:rPr>
          <w:rFonts w:hint="eastAsia" w:ascii="楷体" w:hAnsi="楷体" w:eastAsia="楷体"/>
          <w:color w:val="auto"/>
          <w:w w:val="95"/>
          <w:sz w:val="24"/>
          <w:szCs w:val="24"/>
          <w:highlight w:val="none"/>
        </w:rPr>
        <w:t>稻飞虱百丛虫量，</w:t>
      </w:r>
      <w:r>
        <w:rPr>
          <w:rFonts w:hint="eastAsia" w:ascii="楷体" w:hAnsi="楷体" w:eastAsia="楷体"/>
          <w:color w:val="auto"/>
          <w:sz w:val="24"/>
          <w:szCs w:val="24"/>
          <w:highlight w:val="none"/>
        </w:rPr>
        <w:t>钻蛀性螟虫白穗率，病害计算病情指数。</w:t>
      </w:r>
    </w:p>
    <w:p>
      <w:pPr>
        <w:pStyle w:val="2"/>
        <w:kinsoku w:val="0"/>
        <w:overflowPunct w:val="0"/>
        <w:rPr>
          <w:color w:val="auto"/>
          <w:sz w:val="24"/>
          <w:szCs w:val="24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54"/>
        <w:ind w:left="353"/>
        <w:rPr>
          <w:rFonts w:hint="eastAsia" w:ascii="黑体" w:eastAsia="黑体" w:cs="黑体"/>
          <w:color w:val="auto"/>
          <w:highlight w:val="none"/>
        </w:rPr>
        <w:sectPr>
          <w:headerReference r:id="rId3" w:type="default"/>
          <w:headerReference r:id="rId4" w:type="even"/>
          <w:pgSz w:w="11900" w:h="16840"/>
          <w:pgMar w:top="1600" w:right="1180" w:bottom="280" w:left="1180" w:header="850" w:footer="1587" w:gutter="0"/>
          <w:pgNumType w:fmt="numberInDash"/>
          <w:cols w:space="720" w:num="1"/>
          <w:docGrid w:linePitch="286" w:charSpace="0"/>
        </w:sectPr>
      </w:pPr>
    </w:p>
    <w:p>
      <w:pPr>
        <w:pStyle w:val="2"/>
        <w:kinsoku w:val="0"/>
        <w:overflowPunct w:val="0"/>
        <w:spacing w:before="54"/>
        <w:ind w:left="353"/>
        <w:rPr>
          <w:rFonts w:ascii="黑体" w:eastAsia="黑体" w:cs="黑体"/>
          <w:color w:val="auto"/>
          <w:highlight w:val="none"/>
        </w:rPr>
      </w:pPr>
      <w:r>
        <w:rPr>
          <w:rFonts w:hint="eastAsia" w:ascii="黑体" w:eastAsia="黑体" w:cs="黑体"/>
          <w:color w:val="auto"/>
          <w:highlight w:val="none"/>
        </w:rPr>
        <w:t>附件</w:t>
      </w:r>
      <w:r>
        <w:rPr>
          <w:rFonts w:ascii="黑体" w:eastAsia="黑体" w:cs="黑体"/>
          <w:color w:val="auto"/>
          <w:highlight w:val="none"/>
        </w:rPr>
        <w:t>3-5</w:t>
      </w:r>
    </w:p>
    <w:p>
      <w:pPr>
        <w:pStyle w:val="2"/>
        <w:kinsoku w:val="0"/>
        <w:overflowPunct w:val="0"/>
        <w:spacing w:before="11"/>
        <w:rPr>
          <w:rFonts w:ascii="黑体" w:eastAsia="黑体" w:cs="黑体"/>
          <w:color w:val="auto"/>
          <w:sz w:val="12"/>
          <w:szCs w:val="12"/>
          <w:highlight w:val="none"/>
        </w:rPr>
      </w:pP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129540</wp:posOffset>
                </wp:positionV>
                <wp:extent cx="4000500" cy="266700"/>
                <wp:effectExtent l="0" t="0" r="0" b="0"/>
                <wp:wrapTopAndBottom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spacing w:line="420" w:lineRule="atLeast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drawing>
                                <wp:inline distT="0" distB="0" distL="114300" distR="114300">
                                  <wp:extent cx="4001770" cy="267970"/>
                                  <wp:effectExtent l="0" t="0" r="6350" b="6350"/>
                                  <wp:docPr id="1" name="图片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1770" cy="267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0.3pt;margin-top:10.2pt;height:21pt;width:315pt;mso-position-horizontal-relative:page;mso-wrap-distance-bottom:0pt;mso-wrap-distance-top:0pt;z-index:251665408;mso-width-relative:page;mso-height-relative:page;" filled="f" stroked="f" coordsize="21600,21600" o:allowincell="f" o:gfxdata="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/s+BHYAAAACQEAAA8AAAAAAAAAAQAgAAAAIgAAAGRycy9kb3ducmV2LnhtbFBL&#10;AQIUABQAAAAIAIdO4kAke9PTvQEAAIMDAAAOAAAAAAAAAAEAIAAAACcBAABkcnMvZTJvRG9jLnht&#10;bFBLBQYAAAAABgAGAFkBAABWBQAAAAA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420" w:lineRule="atLeast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drawing>
                          <wp:inline distT="0" distB="0" distL="114300" distR="114300">
                            <wp:extent cx="4001770" cy="267970"/>
                            <wp:effectExtent l="0" t="0" r="6350" b="6350"/>
                            <wp:docPr id="1" name="图片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1770" cy="267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rPr>
                          <w:rFonts w:ascii="Times New Roman"/>
                          <w:sz w:val="24"/>
                        </w:rPr>
                      </w:pP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rPr>
          <w:rFonts w:ascii="黑体" w:eastAsia="黑体" w:cs="黑体"/>
          <w:color w:val="auto"/>
          <w:sz w:val="20"/>
          <w:szCs w:val="20"/>
          <w:highlight w:val="none"/>
        </w:rPr>
      </w:pPr>
    </w:p>
    <w:p>
      <w:pPr>
        <w:pStyle w:val="2"/>
        <w:kinsoku w:val="0"/>
        <w:overflowPunct w:val="0"/>
        <w:spacing w:before="11"/>
        <w:rPr>
          <w:rFonts w:ascii="黑体" w:eastAsia="黑体" w:cs="黑体"/>
          <w:color w:val="auto"/>
          <w:sz w:val="17"/>
          <w:szCs w:val="17"/>
          <w:highlight w:val="none"/>
        </w:rPr>
      </w:pPr>
    </w:p>
    <w:p>
      <w:pPr>
        <w:pStyle w:val="2"/>
        <w:tabs>
          <w:tab w:val="left" w:pos="2453"/>
          <w:tab w:val="left" w:pos="3852"/>
          <w:tab w:val="left" w:pos="5393"/>
          <w:tab w:val="left" w:pos="8472"/>
        </w:tabs>
        <w:kinsoku w:val="0"/>
        <w:overflowPunct w:val="0"/>
        <w:spacing w:before="70"/>
        <w:ind w:left="353"/>
        <w:rPr>
          <w:rFonts w:ascii="Times New Roman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pacing w:val="-3"/>
          <w:sz w:val="28"/>
          <w:szCs w:val="28"/>
          <w:highlight w:val="none"/>
        </w:rPr>
        <w:t>农户姓名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：</w:t>
      </w:r>
      <w:r>
        <w:rPr>
          <w:color w:val="auto"/>
          <w:spacing w:val="-6"/>
          <w:sz w:val="28"/>
          <w:szCs w:val="28"/>
          <w:highlight w:val="none"/>
          <w:u w:val="single"/>
        </w:rPr>
        <w:t xml:space="preserve"> </w:t>
      </w:r>
      <w:r>
        <w:rPr>
          <w:color w:val="auto"/>
          <w:spacing w:val="-6"/>
          <w:sz w:val="28"/>
          <w:szCs w:val="28"/>
          <w:highlight w:val="none"/>
          <w:u w:val="single"/>
        </w:rPr>
        <w:tab/>
      </w:r>
      <w:r>
        <w:rPr>
          <w:rFonts w:hint="eastAsia"/>
          <w:color w:val="auto"/>
          <w:spacing w:val="-3"/>
          <w:sz w:val="28"/>
          <w:szCs w:val="28"/>
          <w:highlight w:val="none"/>
        </w:rPr>
        <w:t>作</w:t>
      </w:r>
      <w:r>
        <w:rPr>
          <w:rFonts w:hint="eastAsia"/>
          <w:color w:val="auto"/>
          <w:sz w:val="28"/>
          <w:szCs w:val="28"/>
          <w:highlight w:val="none"/>
        </w:rPr>
        <w:t>物</w:t>
      </w:r>
      <w:r>
        <w:rPr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/>
          <w:color w:val="auto"/>
          <w:sz w:val="28"/>
          <w:szCs w:val="28"/>
          <w:highlight w:val="none"/>
          <w:u w:val="single"/>
        </w:rPr>
        <w:t>水稻</w:t>
      </w:r>
      <w:r>
        <w:rPr>
          <w:color w:val="auto"/>
          <w:sz w:val="28"/>
          <w:szCs w:val="28"/>
          <w:highlight w:val="none"/>
          <w:u w:val="single"/>
        </w:rPr>
        <w:tab/>
      </w:r>
      <w:r>
        <w:rPr>
          <w:rFonts w:hint="eastAsia"/>
          <w:color w:val="auto"/>
          <w:spacing w:val="-3"/>
          <w:sz w:val="28"/>
          <w:szCs w:val="28"/>
          <w:highlight w:val="none"/>
        </w:rPr>
        <w:t>面积</w:t>
      </w:r>
      <w:r>
        <w:rPr>
          <w:rFonts w:hint="eastAsia"/>
          <w:color w:val="auto"/>
          <w:spacing w:val="-4"/>
          <w:sz w:val="28"/>
          <w:szCs w:val="28"/>
          <w:highlight w:val="none"/>
        </w:rPr>
        <w:t>：</w:t>
      </w:r>
      <w:r>
        <w:rPr>
          <w:color w:val="auto"/>
          <w:spacing w:val="-4"/>
          <w:sz w:val="28"/>
          <w:szCs w:val="28"/>
          <w:highlight w:val="none"/>
          <w:u w:val="single"/>
        </w:rPr>
        <w:t xml:space="preserve"> </w:t>
      </w:r>
      <w:r>
        <w:rPr>
          <w:color w:val="auto"/>
          <w:spacing w:val="-4"/>
          <w:sz w:val="28"/>
          <w:szCs w:val="28"/>
          <w:highlight w:val="none"/>
          <w:u w:val="singl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亩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次</w:t>
      </w:r>
      <w:r>
        <w:rPr>
          <w:color w:val="auto"/>
          <w:spacing w:val="12"/>
          <w:sz w:val="28"/>
          <w:szCs w:val="28"/>
          <w:highlight w:val="none"/>
        </w:rPr>
        <w:t xml:space="preserve"> </w:t>
      </w:r>
      <w:r>
        <w:rPr>
          <w:rFonts w:hint="eastAsia"/>
          <w:color w:val="auto"/>
          <w:sz w:val="28"/>
          <w:szCs w:val="28"/>
          <w:highlight w:val="none"/>
        </w:rPr>
        <w:t>联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系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电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话</w:t>
      </w:r>
      <w:r>
        <w:rPr>
          <w:rFonts w:hint="eastAsia"/>
          <w:color w:val="auto"/>
          <w:sz w:val="28"/>
          <w:szCs w:val="28"/>
          <w:highlight w:val="none"/>
        </w:rPr>
        <w:t>：</w:t>
      </w:r>
      <w:r>
        <w:rPr>
          <w:rFonts w:ascii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8"/>
          <w:szCs w:val="28"/>
          <w:highlight w:val="none"/>
          <w:u w:val="single"/>
        </w:rPr>
        <w:tab/>
      </w:r>
    </w:p>
    <w:p>
      <w:pPr>
        <w:pStyle w:val="2"/>
        <w:kinsoku w:val="0"/>
        <w:overflowPunct w:val="0"/>
        <w:spacing w:before="9"/>
        <w:rPr>
          <w:rFonts w:ascii="Times New Roman"/>
          <w:color w:val="auto"/>
          <w:sz w:val="14"/>
          <w:szCs w:val="14"/>
          <w:highlight w:val="none"/>
        </w:rPr>
      </w:pPr>
    </w:p>
    <w:p>
      <w:pPr>
        <w:pStyle w:val="2"/>
        <w:tabs>
          <w:tab w:val="left" w:pos="3575"/>
          <w:tab w:val="left" w:pos="5813"/>
          <w:tab w:val="left" w:pos="8053"/>
        </w:tabs>
        <w:kinsoku w:val="0"/>
        <w:overflowPunct w:val="0"/>
        <w:spacing w:before="62" w:after="39"/>
        <w:ind w:left="353"/>
        <w:rPr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pacing w:val="-3"/>
          <w:sz w:val="28"/>
          <w:szCs w:val="28"/>
          <w:highlight w:val="none"/>
        </w:rPr>
        <w:t>服务项目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：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全程服务</w:t>
      </w:r>
      <w:r>
        <w:rPr>
          <w:rFonts w:hint="eastAsia"/>
          <w:color w:val="auto"/>
          <w:sz w:val="28"/>
          <w:szCs w:val="28"/>
          <w:highlight w:val="none"/>
        </w:rPr>
        <w:t xml:space="preserve">（ </w:t>
      </w:r>
      <w:r>
        <w:rPr>
          <w:color w:val="auto"/>
          <w:sz w:val="28"/>
          <w:szCs w:val="28"/>
          <w:highlight w:val="none"/>
        </w:rPr>
        <w:t xml:space="preserve">√ </w:t>
      </w:r>
      <w:r>
        <w:rPr>
          <w:rFonts w:hint="eastAsia"/>
          <w:color w:val="auto"/>
          <w:sz w:val="28"/>
          <w:szCs w:val="28"/>
          <w:highlight w:val="none"/>
        </w:rPr>
        <w:t>）</w:t>
      </w:r>
      <w:r>
        <w:rPr>
          <w:color w:val="auto"/>
          <w:spacing w:val="3"/>
          <w:sz w:val="28"/>
          <w:szCs w:val="28"/>
          <w:highlight w:val="none"/>
        </w:rPr>
        <w:t xml:space="preserve"> 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单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次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防</w:t>
      </w:r>
      <w:r>
        <w:rPr>
          <w:rFonts w:hint="eastAsia"/>
          <w:color w:val="auto"/>
          <w:sz w:val="28"/>
          <w:szCs w:val="28"/>
          <w:highlight w:val="none"/>
        </w:rPr>
        <w:t>治（</w:t>
      </w:r>
      <w:r>
        <w:rPr>
          <w:color w:val="auto"/>
          <w:sz w:val="28"/>
          <w:szCs w:val="28"/>
          <w:highlight w:val="non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）</w:t>
      </w:r>
      <w:r>
        <w:rPr>
          <w:color w:val="auto"/>
          <w:spacing w:val="6"/>
          <w:sz w:val="28"/>
          <w:szCs w:val="28"/>
          <w:highlight w:val="none"/>
        </w:rPr>
        <w:t xml:space="preserve"> 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代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防代治</w:t>
      </w:r>
      <w:r>
        <w:rPr>
          <w:rFonts w:hint="eastAsia"/>
          <w:color w:val="auto"/>
          <w:sz w:val="28"/>
          <w:szCs w:val="28"/>
          <w:highlight w:val="none"/>
        </w:rPr>
        <w:t>（</w:t>
      </w:r>
      <w:r>
        <w:rPr>
          <w:color w:val="auto"/>
          <w:sz w:val="28"/>
          <w:szCs w:val="28"/>
          <w:highlight w:val="non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）</w:t>
      </w:r>
    </w:p>
    <w:tbl>
      <w:tblPr>
        <w:tblStyle w:val="4"/>
        <w:tblW w:w="0" w:type="auto"/>
        <w:tblInd w:w="24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6"/>
        <w:gridCol w:w="1730"/>
        <w:gridCol w:w="1728"/>
        <w:gridCol w:w="1730"/>
        <w:gridCol w:w="17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9"/>
              <w:rPr>
                <w:rFonts w:hAnsi="宋体"/>
                <w:color w:val="auto"/>
                <w:sz w:val="17"/>
                <w:szCs w:val="17"/>
                <w:highlight w:val="none"/>
              </w:rPr>
            </w:pPr>
          </w:p>
          <w:p>
            <w:pPr>
              <w:pStyle w:val="6"/>
              <w:tabs>
                <w:tab w:val="left" w:pos="488"/>
              </w:tabs>
              <w:kinsoku w:val="0"/>
              <w:overflowPunct w:val="0"/>
              <w:spacing w:before="1"/>
              <w:ind w:left="8"/>
              <w:jc w:val="center"/>
              <w:rPr>
                <w:rFonts w:hAnsi="宋体" w:cs="黑体"/>
                <w:color w:val="auto"/>
                <w:highlight w:val="none"/>
              </w:rPr>
            </w:pPr>
            <w:r>
              <w:rPr>
                <w:rFonts w:hint="eastAsia" w:hAnsi="宋体" w:cs="黑体"/>
                <w:color w:val="auto"/>
                <w:highlight w:val="none"/>
              </w:rPr>
              <w:t>项</w:t>
            </w:r>
            <w:r>
              <w:rPr>
                <w:rFonts w:hAnsi="宋体" w:cs="黑体"/>
                <w:color w:val="auto"/>
                <w:highlight w:val="none"/>
              </w:rPr>
              <w:tab/>
            </w:r>
            <w:r>
              <w:rPr>
                <w:rFonts w:hint="eastAsia" w:hAnsi="宋体" w:cs="黑体"/>
                <w:color w:val="auto"/>
                <w:highlight w:val="none"/>
              </w:rPr>
              <w:t>目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2" w:line="268" w:lineRule="exact"/>
              <w:ind w:left="7"/>
              <w:jc w:val="center"/>
              <w:rPr>
                <w:rFonts w:hAnsi="宋体" w:cs="黑体"/>
                <w:color w:val="auto"/>
                <w:highlight w:val="none"/>
              </w:rPr>
            </w:pPr>
            <w:r>
              <w:rPr>
                <w:rFonts w:hint="eastAsia" w:hAnsi="宋体" w:cs="黑体"/>
                <w:color w:val="auto"/>
                <w:highlight w:val="none"/>
              </w:rPr>
              <w:t>第</w:t>
            </w:r>
            <w:r>
              <w:rPr>
                <w:rFonts w:hAnsi="宋体" w:cs="黑体"/>
                <w:color w:val="auto"/>
                <w:highlight w:val="none"/>
              </w:rPr>
              <w:t xml:space="preserve"> 1 </w:t>
            </w:r>
            <w:r>
              <w:rPr>
                <w:rFonts w:hint="eastAsia" w:hAnsi="宋体" w:cs="黑体"/>
                <w:color w:val="auto"/>
                <w:highlight w:val="none"/>
              </w:rPr>
              <w:t>次</w:t>
            </w:r>
          </w:p>
          <w:p>
            <w:pPr>
              <w:pStyle w:val="6"/>
              <w:tabs>
                <w:tab w:val="left" w:pos="374"/>
                <w:tab w:val="left" w:pos="856"/>
              </w:tabs>
              <w:kinsoku w:val="0"/>
              <w:overflowPunct w:val="0"/>
              <w:spacing w:line="401" w:lineRule="exact"/>
              <w:ind w:left="14"/>
              <w:jc w:val="center"/>
              <w:rPr>
                <w:rFonts w:hAnsi="宋体" w:cs="Microsoft JhengHei"/>
                <w:bCs/>
                <w:color w:val="auto"/>
                <w:w w:val="110"/>
                <w:highlight w:val="none"/>
              </w:rPr>
            </w:pP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>(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10"/>
                <w:highlight w:val="none"/>
              </w:rPr>
              <w:t>月</w:t>
            </w:r>
            <w:r>
              <w:rPr>
                <w:rFonts w:hAnsi="宋体" w:cs="Microsoft JhengHei"/>
                <w:bCs/>
                <w:color w:val="auto"/>
                <w:w w:val="11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10"/>
                <w:highlight w:val="none"/>
              </w:rPr>
              <w:t>日</w:t>
            </w:r>
            <w:r>
              <w:rPr>
                <w:rFonts w:hAnsi="宋体" w:cs="Microsoft JhengHei"/>
                <w:bCs/>
                <w:color w:val="auto"/>
                <w:w w:val="110"/>
                <w:highlight w:val="none"/>
              </w:rPr>
              <w:t>)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2" w:line="268" w:lineRule="exact"/>
              <w:ind w:left="4"/>
              <w:jc w:val="center"/>
              <w:rPr>
                <w:rFonts w:hAnsi="宋体" w:cs="黑体"/>
                <w:color w:val="auto"/>
                <w:highlight w:val="none"/>
              </w:rPr>
            </w:pPr>
            <w:r>
              <w:rPr>
                <w:rFonts w:hint="eastAsia" w:hAnsi="宋体" w:cs="黑体"/>
                <w:color w:val="auto"/>
                <w:highlight w:val="none"/>
              </w:rPr>
              <w:t>第</w:t>
            </w:r>
            <w:r>
              <w:rPr>
                <w:rFonts w:hAnsi="宋体" w:cs="黑体"/>
                <w:color w:val="auto"/>
                <w:highlight w:val="none"/>
              </w:rPr>
              <w:t xml:space="preserve"> 2 </w:t>
            </w:r>
            <w:r>
              <w:rPr>
                <w:rFonts w:hint="eastAsia" w:hAnsi="宋体" w:cs="黑体"/>
                <w:color w:val="auto"/>
                <w:highlight w:val="none"/>
              </w:rPr>
              <w:t>次</w:t>
            </w:r>
          </w:p>
          <w:p>
            <w:pPr>
              <w:pStyle w:val="6"/>
              <w:tabs>
                <w:tab w:val="left" w:pos="376"/>
                <w:tab w:val="left" w:pos="856"/>
              </w:tabs>
              <w:kinsoku w:val="0"/>
              <w:overflowPunct w:val="0"/>
              <w:spacing w:line="401" w:lineRule="exact"/>
              <w:ind w:left="14"/>
              <w:jc w:val="center"/>
              <w:rPr>
                <w:rFonts w:hAnsi="宋体" w:cs="Microsoft JhengHei"/>
                <w:bCs/>
                <w:color w:val="auto"/>
                <w:w w:val="120"/>
                <w:highlight w:val="none"/>
              </w:rPr>
            </w:pP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>(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20"/>
                <w:highlight w:val="none"/>
              </w:rPr>
              <w:t>月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20"/>
                <w:highlight w:val="none"/>
              </w:rPr>
              <w:t>日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>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2" w:line="268" w:lineRule="exact"/>
              <w:ind w:left="8"/>
              <w:jc w:val="center"/>
              <w:rPr>
                <w:rFonts w:hAnsi="宋体" w:cs="黑体"/>
                <w:color w:val="auto"/>
                <w:highlight w:val="none"/>
              </w:rPr>
            </w:pPr>
            <w:r>
              <w:rPr>
                <w:rFonts w:hint="eastAsia" w:hAnsi="宋体" w:cs="黑体"/>
                <w:color w:val="auto"/>
                <w:highlight w:val="none"/>
              </w:rPr>
              <w:t>第</w:t>
            </w:r>
            <w:r>
              <w:rPr>
                <w:rFonts w:hAnsi="宋体" w:cs="黑体"/>
                <w:color w:val="auto"/>
                <w:highlight w:val="none"/>
              </w:rPr>
              <w:t xml:space="preserve"> 3 </w:t>
            </w:r>
            <w:r>
              <w:rPr>
                <w:rFonts w:hint="eastAsia" w:hAnsi="宋体" w:cs="黑体"/>
                <w:color w:val="auto"/>
                <w:highlight w:val="none"/>
              </w:rPr>
              <w:t>次</w:t>
            </w:r>
          </w:p>
          <w:p>
            <w:pPr>
              <w:pStyle w:val="6"/>
              <w:tabs>
                <w:tab w:val="left" w:pos="375"/>
                <w:tab w:val="left" w:pos="857"/>
              </w:tabs>
              <w:kinsoku w:val="0"/>
              <w:overflowPunct w:val="0"/>
              <w:spacing w:line="401" w:lineRule="exact"/>
              <w:ind w:left="15"/>
              <w:jc w:val="center"/>
              <w:rPr>
                <w:rFonts w:hAnsi="宋体" w:cs="Microsoft JhengHei"/>
                <w:bCs/>
                <w:color w:val="auto"/>
                <w:w w:val="110"/>
                <w:highlight w:val="none"/>
              </w:rPr>
            </w:pP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>(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10"/>
                <w:highlight w:val="none"/>
              </w:rPr>
              <w:t>月</w:t>
            </w:r>
            <w:r>
              <w:rPr>
                <w:rFonts w:hAnsi="宋体" w:cs="Microsoft JhengHei"/>
                <w:bCs/>
                <w:color w:val="auto"/>
                <w:w w:val="11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10"/>
                <w:highlight w:val="none"/>
              </w:rPr>
              <w:t>日</w:t>
            </w:r>
            <w:r>
              <w:rPr>
                <w:rFonts w:hAnsi="宋体" w:cs="Microsoft JhengHei"/>
                <w:bCs/>
                <w:color w:val="auto"/>
                <w:w w:val="110"/>
                <w:highlight w:val="none"/>
              </w:rPr>
              <w:t>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72" w:line="268" w:lineRule="exact"/>
              <w:ind w:left="9"/>
              <w:jc w:val="center"/>
              <w:rPr>
                <w:rFonts w:hAnsi="宋体" w:cs="黑体"/>
                <w:color w:val="auto"/>
                <w:highlight w:val="none"/>
              </w:rPr>
            </w:pPr>
            <w:r>
              <w:rPr>
                <w:rFonts w:ascii="MS Mincho" w:hAnsi="MS Mincho" w:cs="MS Mincho"/>
                <w:color w:val="auto"/>
                <w:highlight w:val="none"/>
              </w:rPr>
              <w:t>⋯⋯</w:t>
            </w:r>
          </w:p>
          <w:p>
            <w:pPr>
              <w:pStyle w:val="6"/>
              <w:tabs>
                <w:tab w:val="left" w:pos="378"/>
                <w:tab w:val="left" w:pos="861"/>
              </w:tabs>
              <w:kinsoku w:val="0"/>
              <w:overflowPunct w:val="0"/>
              <w:spacing w:line="401" w:lineRule="exact"/>
              <w:ind w:left="18"/>
              <w:jc w:val="center"/>
              <w:rPr>
                <w:rFonts w:hAnsi="宋体" w:cs="Microsoft JhengHei"/>
                <w:bCs/>
                <w:color w:val="auto"/>
                <w:w w:val="120"/>
                <w:highlight w:val="none"/>
              </w:rPr>
            </w:pP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>(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20"/>
                <w:highlight w:val="none"/>
              </w:rPr>
              <w:t>月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ab/>
            </w:r>
            <w:r>
              <w:rPr>
                <w:rFonts w:hint="eastAsia" w:hAnsi="宋体" w:cs="Microsoft JhengHei"/>
                <w:bCs/>
                <w:color w:val="auto"/>
                <w:w w:val="120"/>
                <w:highlight w:val="none"/>
              </w:rPr>
              <w:t>日</w:t>
            </w:r>
            <w:r>
              <w:rPr>
                <w:rFonts w:hAnsi="宋体" w:cs="Microsoft JhengHei"/>
                <w:bCs/>
                <w:color w:val="auto"/>
                <w:w w:val="120"/>
                <w:highlight w:val="none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65"/>
              <w:ind w:left="8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防治对象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46"/>
              <w:ind w:left="8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施药时间及天气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3"/>
              <w:ind w:left="8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农药名称及厂家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3"/>
              <w:ind w:left="8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亩药量，亩药液量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6"/>
              <w:ind w:left="8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施药方法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86" w:line="242" w:lineRule="auto"/>
              <w:ind w:left="707" w:right="96" w:hanging="600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农药包装废弃物回收情况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</w:tbl>
    <w:p>
      <w:pPr>
        <w:pStyle w:val="2"/>
        <w:kinsoku w:val="0"/>
        <w:overflowPunct w:val="0"/>
        <w:spacing w:before="6"/>
        <w:rPr>
          <w:color w:val="auto"/>
          <w:sz w:val="26"/>
          <w:szCs w:val="26"/>
          <w:highlight w:val="none"/>
        </w:rPr>
      </w:pPr>
    </w:p>
    <w:tbl>
      <w:tblPr>
        <w:tblStyle w:val="4"/>
        <w:tblW w:w="0" w:type="auto"/>
        <w:tblInd w:w="30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88"/>
        <w:gridCol w:w="1327"/>
        <w:gridCol w:w="1591"/>
      </w:tblGrid>
      <w:tr>
        <w:trPr>
          <w:trHeight w:val="378" w:hRule="atLeast"/>
        </w:trPr>
        <w:tc>
          <w:tcPr>
            <w:tcW w:w="2713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line="320" w:lineRule="exact"/>
              <w:ind w:left="5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满意度情况</w:t>
            </w:r>
          </w:p>
        </w:tc>
        <w:tc>
          <w:tcPr>
            <w:tcW w:w="4806" w:type="dxa"/>
            <w:gridSpan w:val="3"/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ascii="Times New Roman" w:cs="Times New Roman"/>
                <w:color w:val="auto"/>
                <w:sz w:val="26"/>
                <w:szCs w:val="26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713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9"/>
              <w:ind w:left="5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服务态度：满意（）</w:t>
            </w:r>
          </w:p>
        </w:tc>
        <w:tc>
          <w:tcPr>
            <w:tcW w:w="1888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9"/>
              <w:ind w:right="65"/>
              <w:jc w:val="right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比较满意（）</w:t>
            </w:r>
          </w:p>
        </w:tc>
        <w:tc>
          <w:tcPr>
            <w:tcW w:w="1327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9"/>
              <w:ind w:left="7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一般（）</w:t>
            </w:r>
          </w:p>
        </w:tc>
        <w:tc>
          <w:tcPr>
            <w:tcW w:w="1591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9"/>
              <w:ind w:left="122" w:right="29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不满意（）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713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left="5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服务流程：满意（）</w:t>
            </w:r>
          </w:p>
        </w:tc>
        <w:tc>
          <w:tcPr>
            <w:tcW w:w="1888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right="65"/>
              <w:jc w:val="right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比较满意（）</w:t>
            </w:r>
          </w:p>
        </w:tc>
        <w:tc>
          <w:tcPr>
            <w:tcW w:w="1327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left="7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一般（）</w:t>
            </w:r>
          </w:p>
        </w:tc>
        <w:tc>
          <w:tcPr>
            <w:tcW w:w="1591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left="122" w:right="29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不满意（）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2713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left="5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防治效果：满意（）</w:t>
            </w:r>
          </w:p>
          <w:p>
            <w:pPr>
              <w:pStyle w:val="6"/>
              <w:kinsoku w:val="0"/>
              <w:overflowPunct w:val="0"/>
              <w:spacing w:before="236" w:line="299" w:lineRule="exact"/>
              <w:ind w:left="5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不满意原因：</w:t>
            </w:r>
          </w:p>
        </w:tc>
        <w:tc>
          <w:tcPr>
            <w:tcW w:w="1888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right="65"/>
              <w:jc w:val="right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比较满意（）</w:t>
            </w:r>
          </w:p>
        </w:tc>
        <w:tc>
          <w:tcPr>
            <w:tcW w:w="1327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left="70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一般（）</w:t>
            </w:r>
          </w:p>
        </w:tc>
        <w:tc>
          <w:tcPr>
            <w:tcW w:w="1591" w:type="dxa"/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18"/>
              <w:ind w:left="122" w:right="29"/>
              <w:jc w:val="center"/>
              <w:rPr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不满意（）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7519" w:type="dxa"/>
            <w:gridSpan w:val="4"/>
            <w:noWrap w:val="0"/>
            <w:vAlign w:val="center"/>
          </w:tcPr>
          <w:p>
            <w:pPr>
              <w:pStyle w:val="6"/>
              <w:kinsoku w:val="0"/>
              <w:overflowPunct w:val="0"/>
              <w:spacing w:before="118"/>
              <w:ind w:left="122" w:right="29"/>
              <w:jc w:val="both"/>
              <w:rPr>
                <w:rFonts w:hint="eastAsia" w:eastAsia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highlight w:val="none"/>
                <w:lang w:eastAsia="zh-CN"/>
              </w:rPr>
              <w:t>病虫害应急处置情况：及时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（）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不及时</w:t>
            </w:r>
            <w:r>
              <w:rPr>
                <w:rFonts w:hint="eastAsia"/>
                <w:color w:val="auto"/>
                <w:sz w:val="28"/>
                <w:szCs w:val="28"/>
                <w:highlight w:val="none"/>
              </w:rPr>
              <w:t>（）</w:t>
            </w:r>
          </w:p>
        </w:tc>
      </w:tr>
    </w:tbl>
    <w:p>
      <w:pPr>
        <w:pStyle w:val="2"/>
        <w:kinsoku w:val="0"/>
        <w:overflowPunct w:val="0"/>
        <w:spacing w:before="7"/>
        <w:rPr>
          <w:color w:val="auto"/>
          <w:sz w:val="21"/>
          <w:szCs w:val="21"/>
          <w:highlight w:val="none"/>
        </w:rPr>
      </w:pPr>
    </w:p>
    <w:p>
      <w:pPr>
        <w:pStyle w:val="2"/>
        <w:tabs>
          <w:tab w:val="left" w:pos="3993"/>
          <w:tab w:val="left" w:pos="4554"/>
          <w:tab w:val="left" w:pos="5112"/>
          <w:tab w:val="left" w:pos="7493"/>
        </w:tabs>
        <w:kinsoku w:val="0"/>
        <w:overflowPunct w:val="0"/>
        <w:ind w:left="3433"/>
        <w:rPr>
          <w:rFonts w:ascii="Times New Roman"/>
          <w:color w:val="auto"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农</w:t>
      </w:r>
      <w:r>
        <w:rPr>
          <w:color w:val="auto"/>
          <w:sz w:val="28"/>
          <w:szCs w:val="28"/>
          <w:highlight w:val="non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户</w:t>
      </w:r>
      <w:r>
        <w:rPr>
          <w:color w:val="auto"/>
          <w:sz w:val="28"/>
          <w:szCs w:val="28"/>
          <w:highlight w:val="non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签</w:t>
      </w:r>
      <w:r>
        <w:rPr>
          <w:color w:val="auto"/>
          <w:sz w:val="28"/>
          <w:szCs w:val="28"/>
          <w:highlight w:val="none"/>
        </w:rPr>
        <w:tab/>
      </w:r>
      <w:r>
        <w:rPr>
          <w:rFonts w:hint="eastAsia"/>
          <w:color w:val="auto"/>
          <w:spacing w:val="-3"/>
          <w:sz w:val="28"/>
          <w:szCs w:val="28"/>
          <w:highlight w:val="none"/>
        </w:rPr>
        <w:t>名</w:t>
      </w:r>
      <w:r>
        <w:rPr>
          <w:rFonts w:hint="eastAsia"/>
          <w:color w:val="auto"/>
          <w:spacing w:val="-2"/>
          <w:sz w:val="28"/>
          <w:szCs w:val="28"/>
          <w:highlight w:val="none"/>
        </w:rPr>
        <w:t>：</w:t>
      </w:r>
      <w:r>
        <w:rPr>
          <w:rFonts w:ascii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8"/>
          <w:szCs w:val="28"/>
          <w:highlight w:val="none"/>
          <w:u w:val="single"/>
        </w:rPr>
        <w:tab/>
      </w:r>
    </w:p>
    <w:p>
      <w:pPr>
        <w:pStyle w:val="2"/>
        <w:kinsoku w:val="0"/>
        <w:overflowPunct w:val="0"/>
        <w:spacing w:before="4"/>
        <w:rPr>
          <w:rFonts w:ascii="Times New Roman"/>
          <w:color w:val="auto"/>
          <w:sz w:val="14"/>
          <w:szCs w:val="14"/>
          <w:highlight w:val="none"/>
        </w:rPr>
      </w:pPr>
    </w:p>
    <w:p>
      <w:pPr>
        <w:pStyle w:val="2"/>
        <w:tabs>
          <w:tab w:val="left" w:pos="8472"/>
        </w:tabs>
        <w:kinsoku w:val="0"/>
        <w:overflowPunct w:val="0"/>
        <w:spacing w:before="71"/>
        <w:ind w:left="3433"/>
        <w:rPr>
          <w:rFonts w:ascii="Times New Roman"/>
          <w:color w:val="auto"/>
          <w:w w:val="101"/>
          <w:sz w:val="28"/>
          <w:szCs w:val="28"/>
          <w:highlight w:val="none"/>
        </w:rPr>
      </w:pPr>
      <w:r>
        <w:rPr>
          <w:rFonts w:hint="eastAsia"/>
          <w:color w:val="auto"/>
          <w:spacing w:val="-3"/>
          <w:sz w:val="28"/>
          <w:szCs w:val="28"/>
          <w:highlight w:val="none"/>
        </w:rPr>
        <w:t>防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治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服</w:t>
      </w:r>
      <w:r>
        <w:rPr>
          <w:rFonts w:hint="eastAsia"/>
          <w:color w:val="auto"/>
          <w:sz w:val="28"/>
          <w:szCs w:val="28"/>
          <w:highlight w:val="none"/>
        </w:rPr>
        <w:t>务</w:t>
      </w:r>
      <w:r>
        <w:rPr>
          <w:rFonts w:hint="eastAsia"/>
          <w:color w:val="auto"/>
          <w:spacing w:val="-6"/>
          <w:sz w:val="28"/>
          <w:szCs w:val="28"/>
          <w:highlight w:val="none"/>
        </w:rPr>
        <w:t>组</w:t>
      </w:r>
      <w:r>
        <w:rPr>
          <w:rFonts w:hint="eastAsia"/>
          <w:color w:val="auto"/>
          <w:spacing w:val="-3"/>
          <w:sz w:val="28"/>
          <w:szCs w:val="28"/>
          <w:highlight w:val="none"/>
        </w:rPr>
        <w:t>织代表签名</w:t>
      </w:r>
      <w:r>
        <w:rPr>
          <w:rFonts w:hint="eastAsia"/>
          <w:color w:val="auto"/>
          <w:sz w:val="28"/>
          <w:szCs w:val="28"/>
          <w:highlight w:val="none"/>
        </w:rPr>
        <w:t>：</w:t>
      </w:r>
      <w:r>
        <w:rPr>
          <w:color w:val="auto"/>
          <w:spacing w:val="-4"/>
          <w:sz w:val="28"/>
          <w:szCs w:val="28"/>
          <w:highlight w:val="none"/>
        </w:rPr>
        <w:t xml:space="preserve"> </w:t>
      </w:r>
      <w:r>
        <w:rPr>
          <w:rFonts w:ascii="Times New Roman"/>
          <w:color w:val="auto"/>
          <w:w w:val="101"/>
          <w:sz w:val="28"/>
          <w:szCs w:val="28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8"/>
          <w:szCs w:val="28"/>
          <w:highlight w:val="none"/>
          <w:u w:val="single"/>
        </w:rPr>
        <w:tab/>
      </w:r>
    </w:p>
    <w:p>
      <w:pPr>
        <w:pStyle w:val="2"/>
        <w:kinsoku w:val="0"/>
        <w:overflowPunct w:val="0"/>
        <w:spacing w:before="5"/>
        <w:rPr>
          <w:rFonts w:ascii="Times New Roman"/>
          <w:color w:val="auto"/>
          <w:sz w:val="14"/>
          <w:szCs w:val="14"/>
          <w:highlight w:val="none"/>
        </w:rPr>
      </w:pPr>
    </w:p>
    <w:p>
      <w:pPr>
        <w:pStyle w:val="2"/>
        <w:tabs>
          <w:tab w:val="left" w:pos="839"/>
          <w:tab w:val="left" w:pos="1540"/>
          <w:tab w:val="left" w:pos="2238"/>
        </w:tabs>
        <w:kinsoku w:val="0"/>
        <w:overflowPunct w:val="0"/>
        <w:spacing w:before="70"/>
        <w:ind w:right="350"/>
        <w:jc w:val="right"/>
        <w:rPr>
          <w:color w:val="auto"/>
          <w:sz w:val="28"/>
          <w:szCs w:val="28"/>
          <w:highlight w:val="none"/>
        </w:rPr>
      </w:pPr>
      <w:r>
        <w:rPr>
          <w:rFonts w:ascii="Times New Roman"/>
          <w:color w:val="auto"/>
          <w:w w:val="101"/>
          <w:sz w:val="28"/>
          <w:szCs w:val="28"/>
          <w:highlight w:val="none"/>
          <w:u w:val="single"/>
        </w:rPr>
        <w:t xml:space="preserve"> </w:t>
      </w:r>
      <w:r>
        <w:rPr>
          <w:rFonts w:ascii="Times New Roman"/>
          <w:color w:val="auto"/>
          <w:sz w:val="28"/>
          <w:szCs w:val="28"/>
          <w:highlight w:val="none"/>
          <w:u w:val="singl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年</w:t>
      </w:r>
      <w:r>
        <w:rPr>
          <w:color w:val="auto"/>
          <w:sz w:val="28"/>
          <w:szCs w:val="28"/>
          <w:highlight w:val="none"/>
          <w:u w:val="single"/>
        </w:rPr>
        <w:t xml:space="preserve"> </w:t>
      </w:r>
      <w:r>
        <w:rPr>
          <w:color w:val="auto"/>
          <w:sz w:val="28"/>
          <w:szCs w:val="28"/>
          <w:highlight w:val="none"/>
          <w:u w:val="single"/>
        </w:rPr>
        <w:tab/>
      </w:r>
      <w:r>
        <w:rPr>
          <w:rFonts w:hint="eastAsia"/>
          <w:color w:val="auto"/>
          <w:spacing w:val="-5"/>
          <w:sz w:val="28"/>
          <w:szCs w:val="28"/>
          <w:highlight w:val="none"/>
        </w:rPr>
        <w:t>月</w:t>
      </w:r>
      <w:r>
        <w:rPr>
          <w:color w:val="auto"/>
          <w:spacing w:val="-5"/>
          <w:sz w:val="28"/>
          <w:szCs w:val="28"/>
          <w:highlight w:val="none"/>
          <w:u w:val="single"/>
        </w:rPr>
        <w:t xml:space="preserve"> </w:t>
      </w:r>
      <w:r>
        <w:rPr>
          <w:color w:val="auto"/>
          <w:spacing w:val="-5"/>
          <w:sz w:val="28"/>
          <w:szCs w:val="28"/>
          <w:highlight w:val="none"/>
          <w:u w:val="single"/>
        </w:rPr>
        <w:tab/>
      </w:r>
      <w:r>
        <w:rPr>
          <w:rFonts w:hint="eastAsia"/>
          <w:color w:val="auto"/>
          <w:sz w:val="28"/>
          <w:szCs w:val="28"/>
          <w:highlight w:val="none"/>
        </w:rPr>
        <w:t>日</w:t>
      </w:r>
    </w:p>
    <w:p>
      <w:pPr>
        <w:pStyle w:val="2"/>
        <w:kinsoku w:val="0"/>
        <w:overflowPunct w:val="0"/>
        <w:spacing w:before="68"/>
        <w:rPr>
          <w:rFonts w:hint="eastAsia"/>
          <w:color w:val="auto"/>
          <w:w w:val="105"/>
          <w:sz w:val="27"/>
          <w:szCs w:val="27"/>
          <w:highlight w:val="none"/>
        </w:rPr>
        <w:sectPr>
          <w:pgSz w:w="11900" w:h="16840"/>
          <w:pgMar w:top="1600" w:right="1180" w:bottom="280" w:left="1180" w:header="850" w:footer="1587" w:gutter="0"/>
          <w:pgNumType w:fmt="numberInDash"/>
          <w:cols w:space="720" w:num="1"/>
          <w:docGrid w:linePitch="286" w:charSpace="0"/>
        </w:sectPr>
      </w:pPr>
    </w:p>
    <w:p>
      <w:pPr>
        <w:spacing w:line="400" w:lineRule="exact"/>
        <w:rPr>
          <w:rFonts w:hint="eastAsia" w:ascii="黑体" w:hAnsi="黑体" w:eastAsia="黑体" w:cs="黑体"/>
          <w:color w:val="auto"/>
          <w:kern w:val="0"/>
          <w:sz w:val="32"/>
          <w:szCs w:val="30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0"/>
          <w:highlight w:val="none"/>
        </w:rPr>
        <w:t>附件3</w:t>
      </w:r>
      <w:r>
        <w:rPr>
          <w:rFonts w:ascii="黑体" w:hAnsi="黑体" w:eastAsia="黑体" w:cs="黑体"/>
          <w:color w:val="auto"/>
          <w:kern w:val="0"/>
          <w:sz w:val="32"/>
          <w:szCs w:val="30"/>
          <w:highlight w:val="none"/>
        </w:rPr>
        <w:t>-6</w:t>
      </w:r>
    </w:p>
    <w:p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32"/>
          <w:szCs w:val="30"/>
          <w:highlight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32"/>
          <w:szCs w:val="30"/>
          <w:highlight w:val="none"/>
        </w:rPr>
        <w:t>开平市2024年中央农业防灾减灾和水利救灾资金（防灾救灾第三批）—水稻病虫害统防统治项目服务作业验收明细表</w:t>
      </w:r>
    </w:p>
    <w:p>
      <w:pPr>
        <w:spacing w:line="400" w:lineRule="exact"/>
        <w:jc w:val="left"/>
        <w:rPr>
          <w:rFonts w:hint="eastAsia" w:ascii="华光大标宋_CNKI" w:hAnsi="华光大标宋_CNKI" w:eastAsia="华光大标宋_CNKI" w:cs="华光大标宋_CNKI"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服务组织名称：                                                                年    月    日</w:t>
      </w:r>
      <w:r>
        <w:rPr>
          <w:rFonts w:hint="eastAsia" w:ascii="华光大标宋_CNKI" w:hAnsi="华光大标宋_CNKI" w:eastAsia="华光大标宋_CNKI" w:cs="华光大标宋_CNKI"/>
          <w:color w:val="auto"/>
          <w:kern w:val="0"/>
          <w:sz w:val="36"/>
          <w:szCs w:val="36"/>
          <w:highlight w:val="none"/>
        </w:rPr>
        <w:t xml:space="preserve">                                                                     </w:t>
      </w:r>
    </w:p>
    <w:tbl>
      <w:tblPr>
        <w:tblStyle w:val="4"/>
        <w:tblW w:w="4997" w:type="pct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35"/>
        <w:gridCol w:w="1200"/>
        <w:gridCol w:w="1084"/>
        <w:gridCol w:w="2021"/>
        <w:gridCol w:w="1539"/>
        <w:gridCol w:w="1166"/>
        <w:gridCol w:w="921"/>
        <w:gridCol w:w="1153"/>
        <w:gridCol w:w="1095"/>
        <w:gridCol w:w="1095"/>
        <w:gridCol w:w="982"/>
        <w:gridCol w:w="119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9" w:hRule="exact"/>
          <w:jc w:val="center"/>
        </w:trPr>
        <w:tc>
          <w:tcPr>
            <w:tcW w:w="1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实施地点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22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 xml:space="preserve">服务对象 </w:t>
            </w:r>
          </w:p>
          <w:p>
            <w:pPr>
              <w:pStyle w:val="8"/>
              <w:spacing w:line="322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姓名</w:t>
            </w: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22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服务对象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  <w:p>
            <w:pPr>
              <w:pStyle w:val="8"/>
              <w:spacing w:line="322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17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 xml:space="preserve">服务对象 </w:t>
            </w:r>
          </w:p>
          <w:p>
            <w:pPr>
              <w:pStyle w:val="8"/>
              <w:spacing w:line="317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22" w:lineRule="exact"/>
              <w:ind w:firstLine="0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全程水稻统防统治面积（亩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次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服务组织申请补助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金额（元）</w:t>
            </w: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服务对象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对服务评价（满意/不满意）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病虫害应急处置情况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及时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 xml:space="preserve"> 不及时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26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服务对象签名（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按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指模）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22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服务机手</w:t>
            </w:r>
          </w:p>
          <w:p>
            <w:pPr>
              <w:pStyle w:val="8"/>
              <w:spacing w:line="322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317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 xml:space="preserve">服务机手 </w:t>
            </w:r>
          </w:p>
          <w:p>
            <w:pPr>
              <w:pStyle w:val="8"/>
              <w:spacing w:line="317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签名</w:t>
            </w:r>
          </w:p>
          <w:p>
            <w:pPr>
              <w:pStyle w:val="8"/>
              <w:spacing w:line="317" w:lineRule="exact"/>
              <w:ind w:firstLine="0"/>
              <w:jc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eastAsia="zh-CN"/>
              </w:rPr>
              <w:t>按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</w:rPr>
              <w:t>指模）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3" w:hRule="exact"/>
          <w:jc w:val="center"/>
        </w:trPr>
        <w:tc>
          <w:tcPr>
            <w:tcW w:w="1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 w:cs="黑体"/>
                <w:color w:val="auto"/>
                <w:kern w:val="0"/>
                <w:sz w:val="22"/>
                <w:szCs w:val="22"/>
                <w:highlight w:val="none"/>
                <w:lang w:val="zh-TW" w:eastAsia="zh-TW" w:bidi="zh-TW"/>
              </w:rPr>
            </w:pP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3" w:hRule="exact"/>
          <w:jc w:val="center"/>
        </w:trPr>
        <w:tc>
          <w:tcPr>
            <w:tcW w:w="1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 w:cs="黑体"/>
                <w:color w:val="auto"/>
                <w:kern w:val="0"/>
                <w:sz w:val="22"/>
                <w:szCs w:val="22"/>
                <w:highlight w:val="none"/>
                <w:lang w:val="zh-TW" w:eastAsia="zh-TW" w:bidi="zh-TW"/>
              </w:rPr>
            </w:pP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8" w:hRule="exact"/>
          <w:jc w:val="center"/>
        </w:trPr>
        <w:tc>
          <w:tcPr>
            <w:tcW w:w="1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8" w:hRule="exact"/>
          <w:jc w:val="center"/>
        </w:trPr>
        <w:tc>
          <w:tcPr>
            <w:tcW w:w="122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4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3" w:hRule="exact"/>
          <w:jc w:val="center"/>
        </w:trPr>
        <w:tc>
          <w:tcPr>
            <w:tcW w:w="55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合计</w:t>
            </w:r>
          </w:p>
        </w:tc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jc w:val="both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7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5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4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</w:p>
        </w:tc>
        <w:tc>
          <w:tcPr>
            <w:tcW w:w="4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3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10"/>
                <w:szCs w:val="10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42" w:hRule="exact"/>
          <w:jc w:val="center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>村委会意见（盖章）：</w:t>
            </w:r>
          </w:p>
          <w:p>
            <w:pPr>
              <w:ind w:firstLine="7920" w:firstLineChars="3600"/>
              <w:jc w:val="left"/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 xml:space="preserve">经办人：           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ab/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 xml:space="preserve">年 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 xml:space="preserve">  月  </w:t>
            </w:r>
            <w:r>
              <w:rPr>
                <w:rFonts w:ascii="仿宋" w:hAnsi="仿宋" w:eastAsia="仿宋"/>
                <w:color w:val="auto"/>
                <w:sz w:val="22"/>
                <w:szCs w:val="22"/>
                <w:highlight w:val="none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2"/>
                <w:szCs w:val="22"/>
                <w:highlight w:val="none"/>
              </w:rPr>
              <w:t xml:space="preserve"> 日</w:t>
            </w:r>
          </w:p>
        </w:tc>
      </w:tr>
    </w:tbl>
    <w:p>
      <w:pPr>
        <w:spacing w:line="20" w:lineRule="exact"/>
        <w:rPr>
          <w:rFonts w:ascii="华光大标宋_CNKI" w:hAnsi="华光大标宋_CNKI" w:eastAsia="华光大标宋_CNKI" w:cs="华光大标宋_CNKI"/>
          <w:color w:val="auto"/>
          <w:kern w:val="0"/>
          <w:sz w:val="36"/>
          <w:szCs w:val="36"/>
          <w:highlight w:val="none"/>
        </w:rPr>
        <w:sectPr>
          <w:pgSz w:w="16838" w:h="11906" w:orient="landscape"/>
          <w:pgMar w:top="1814" w:right="1474" w:bottom="1814" w:left="1588" w:header="851" w:footer="1587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附件</w:t>
      </w:r>
      <w:r>
        <w:rPr>
          <w:rFonts w:ascii="黑体" w:hAnsi="黑体" w:eastAsia="黑体" w:cs="黑体"/>
          <w:bCs/>
          <w:color w:val="auto"/>
          <w:sz w:val="32"/>
          <w:szCs w:val="32"/>
          <w:highlight w:val="none"/>
        </w:rPr>
        <w:t>3-7</w:t>
      </w:r>
    </w:p>
    <w:p>
      <w:pPr>
        <w:snapToGrid w:val="0"/>
        <w:spacing w:line="400" w:lineRule="exact"/>
        <w:jc w:val="center"/>
        <w:rPr>
          <w:rFonts w:hint="eastAsia" w:ascii="宋体" w:hAnsi="宋体" w:cs="华光大标宋_CNKI"/>
          <w:bCs/>
          <w:color w:val="auto"/>
          <w:sz w:val="32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32"/>
          <w:szCs w:val="32"/>
          <w:highlight w:val="none"/>
        </w:rPr>
        <w:t>开平市2024年中央农业防灾减灾和水利救灾资金（防灾救灾第三批）—水稻病虫害统防统治项目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32"/>
          <w:szCs w:val="36"/>
          <w:highlight w:val="none"/>
        </w:rPr>
        <w:t>服务作业验收汇总表</w:t>
      </w:r>
    </w:p>
    <w:p>
      <w:pPr>
        <w:snapToGrid w:val="0"/>
        <w:spacing w:line="400" w:lineRule="exact"/>
        <w:jc w:val="left"/>
        <w:rPr>
          <w:rFonts w:ascii="仿宋" w:hAnsi="仿宋" w:eastAsia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</w:rPr>
        <w:t>实施主体</w:t>
      </w:r>
      <w:r>
        <w:rPr>
          <w:rFonts w:hint="eastAsia" w:ascii="仿宋" w:hAnsi="仿宋" w:eastAsia="仿宋"/>
          <w:bCs/>
          <w:color w:val="auto"/>
          <w:sz w:val="30"/>
          <w:szCs w:val="30"/>
          <w:highlight w:val="none"/>
        </w:rPr>
        <w:t xml:space="preserve">名称：                          </w:t>
      </w:r>
      <w:r>
        <w:rPr>
          <w:rFonts w:ascii="仿宋" w:hAnsi="仿宋" w:eastAsia="仿宋"/>
          <w:bCs/>
          <w:color w:val="auto"/>
          <w:sz w:val="30"/>
          <w:szCs w:val="30"/>
          <w:highlight w:val="none"/>
        </w:rPr>
        <w:t xml:space="preserve">            </w:t>
      </w:r>
      <w:r>
        <w:rPr>
          <w:rFonts w:hint="eastAsia" w:ascii="仿宋" w:hAnsi="仿宋" w:eastAsia="仿宋"/>
          <w:bCs/>
          <w:color w:val="auto"/>
          <w:sz w:val="30"/>
          <w:szCs w:val="30"/>
          <w:highlight w:val="none"/>
        </w:rPr>
        <w:t>年   月   日</w:t>
      </w:r>
    </w:p>
    <w:tbl>
      <w:tblPr>
        <w:tblStyle w:val="4"/>
        <w:tblW w:w="52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9"/>
        <w:gridCol w:w="1637"/>
        <w:gridCol w:w="2896"/>
        <w:gridCol w:w="1727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3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序号</w:t>
            </w:r>
          </w:p>
        </w:tc>
        <w:tc>
          <w:tcPr>
            <w:tcW w:w="930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村委会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全程水稻统防统治面积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（亩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eastAsia="zh-CN" w:bidi="ar"/>
              </w:rPr>
              <w:t>次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）</w:t>
            </w:r>
          </w:p>
        </w:tc>
        <w:tc>
          <w:tcPr>
            <w:tcW w:w="981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申请补助金额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（元）</w:t>
            </w:r>
          </w:p>
        </w:tc>
        <w:tc>
          <w:tcPr>
            <w:tcW w:w="1005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1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黑体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2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3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4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5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6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7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8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9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37" w:type="pct"/>
            <w:noWrap w:val="0"/>
            <w:vAlign w:val="top"/>
          </w:tcPr>
          <w:p>
            <w:pPr>
              <w:widowControl/>
              <w:spacing w:line="540" w:lineRule="exact"/>
              <w:jc w:val="center"/>
              <w:textAlignment w:val="top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10</w:t>
            </w:r>
          </w:p>
        </w:tc>
        <w:tc>
          <w:tcPr>
            <w:tcW w:w="930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64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54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67" w:type="pct"/>
            <w:gridSpan w:val="2"/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合计</w:t>
            </w:r>
          </w:p>
        </w:tc>
        <w:tc>
          <w:tcPr>
            <w:tcW w:w="1645" w:type="pct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81" w:type="pct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005" w:type="pct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1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pStyle w:val="3"/>
              <w:widowControl/>
              <w:spacing w:beforeAutospacing="0" w:afterAutospacing="0" w:line="360" w:lineRule="exact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实施主体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承诺：</w:t>
            </w:r>
          </w:p>
          <w:p>
            <w:pPr>
              <w:pStyle w:val="3"/>
              <w:widowControl/>
              <w:spacing w:beforeAutospacing="0" w:afterAutospacing="0" w:line="360" w:lineRule="exact"/>
              <w:ind w:firstLine="560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实施主体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确认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作业面积准确，不存在套取补助资金、与同类型涉农项目补助资金重叠等违法违规行为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。</w:t>
            </w:r>
          </w:p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　　　　　负责人签字：</w:t>
            </w:r>
          </w:p>
          <w:p>
            <w:pPr>
              <w:pStyle w:val="3"/>
              <w:widowControl/>
              <w:spacing w:beforeAutospacing="0" w:afterAutospacing="0" w:line="360" w:lineRule="exact"/>
              <w:jc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　　　　　　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</w:rPr>
              <w:t>实施主体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highlight w:val="none"/>
                <w:shd w:val="clear" w:color="auto" w:fill="FFFFFF"/>
                <w:lang w:bidi="ar"/>
              </w:rPr>
              <w:t>公章：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shd w:val="clear" w:color="auto" w:fill="FFFFFF"/>
                <w:lang w:bidi="ar"/>
              </w:rPr>
              <w:t>　　　　　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镇（街）农办意见：（盖章）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 xml:space="preserve">经办人：          　　　　　　　     </w:t>
            </w:r>
          </w:p>
          <w:p>
            <w:pPr>
              <w:widowControl/>
              <w:ind w:firstLine="5850" w:firstLineChars="1950"/>
              <w:jc w:val="left"/>
              <w:textAlignment w:val="center"/>
              <w:rPr>
                <w:rFonts w:ascii="仿宋" w:hAnsi="仿宋" w:eastAsia="仿宋" w:cs="仿宋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0"/>
                <w:szCs w:val="30"/>
                <w:highlight w:val="none"/>
                <w:lang w:bidi="ar"/>
              </w:rPr>
              <w:t>年    月    日</w:t>
            </w:r>
          </w:p>
        </w:tc>
      </w:tr>
    </w:tbl>
    <w:p>
      <w:pPr>
        <w:snapToGrid w:val="0"/>
        <w:jc w:val="left"/>
        <w:rPr>
          <w:rFonts w:hint="eastAsia" w:ascii="黑体" w:hAnsi="黑体" w:eastAsia="黑体" w:cs="仿宋"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仿宋"/>
          <w:bCs/>
          <w:color w:val="auto"/>
          <w:kern w:val="0"/>
          <w:sz w:val="32"/>
          <w:szCs w:val="32"/>
          <w:highlight w:val="none"/>
        </w:rPr>
        <w:t>附件3-</w:t>
      </w:r>
      <w:r>
        <w:rPr>
          <w:rFonts w:hint="eastAsia" w:ascii="黑体" w:hAnsi="黑体" w:eastAsia="黑体" w:cs="仿宋"/>
          <w:bCs/>
          <w:color w:val="auto"/>
          <w:kern w:val="0"/>
          <w:sz w:val="32"/>
          <w:szCs w:val="32"/>
          <w:highlight w:val="none"/>
          <w:lang w:val="en-US" w:eastAsia="zh-CN"/>
        </w:rPr>
        <w:t>8</w:t>
      </w:r>
    </w:p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4179"/>
        <w:gridCol w:w="783"/>
        <w:gridCol w:w="17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48"/>
                <w:szCs w:val="4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开平市农业农村局项目检查表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48"/>
                <w:szCs w:val="48"/>
                <w:highlight w:val="none"/>
                <w:u w:val="none"/>
              </w:rPr>
            </w:pPr>
          </w:p>
        </w:tc>
        <w:tc>
          <w:tcPr>
            <w:tcW w:w="24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</w:t>
            </w:r>
          </w:p>
        </w:tc>
        <w:tc>
          <w:tcPr>
            <w:tcW w:w="148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  <w:t>开平市2024年中央农业防灾减灾和水利救灾资金（防灾救灾第三批）—水稻病虫害统防统治项目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项目承担单位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项目实施情况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未实施口      实施中口      已经完工口        其它：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资金类别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中央口  省级口  江门市口  本级口</w:t>
            </w:r>
          </w:p>
        </w:tc>
        <w:tc>
          <w:tcPr>
            <w:tcW w:w="4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金额</w:t>
            </w:r>
          </w:p>
        </w:tc>
        <w:tc>
          <w:tcPr>
            <w:tcW w:w="10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检查情况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（存在问题）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建议措施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检查人员签名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项目承担单位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签名确认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39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备注：本表一式三份。</w:t>
            </w:r>
          </w:p>
        </w:tc>
      </w:tr>
    </w:tbl>
    <w:p/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光大标宋_CNKI">
    <w:altName w:val="宋体"/>
    <w:panose1 w:val="02000500000000000000"/>
    <w:charset w:val="7A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line="14" w:lineRule="auto"/>
      <w:rPr>
        <w:rFonts w:ascii="Times New Roman"/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line="14" w:lineRule="auto"/>
      <w:rPr>
        <w:rFonts w:ascii="Times New Roman"/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line="14" w:lineRule="auto"/>
      <w:rPr>
        <w:rFonts w:ascii="Times New Roma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402"/>
    <w:multiLevelType w:val="multilevel"/>
    <w:tmpl w:val="00000402"/>
    <w:lvl w:ilvl="0" w:tentative="0">
      <w:start w:val="3"/>
      <w:numFmt w:val="decimal"/>
      <w:lvlText w:val="%1."/>
      <w:lvlJc w:val="left"/>
      <w:pPr>
        <w:ind w:left="353" w:hanging="241"/>
      </w:pPr>
      <w:rPr>
        <w:rFonts w:ascii="宋体" w:hAnsi="Times New Roman" w:cs="宋体"/>
        <w:b w:val="0"/>
        <w:bCs w:val="0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278" w:hanging="241"/>
      </w:pPr>
    </w:lvl>
    <w:lvl w:ilvl="2" w:tentative="0">
      <w:start w:val="0"/>
      <w:numFmt w:val="bullet"/>
      <w:lvlText w:val="•"/>
      <w:lvlJc w:val="left"/>
      <w:pPr>
        <w:ind w:left="2196" w:hanging="241"/>
      </w:pPr>
    </w:lvl>
    <w:lvl w:ilvl="3" w:tentative="0">
      <w:start w:val="0"/>
      <w:numFmt w:val="bullet"/>
      <w:lvlText w:val="•"/>
      <w:lvlJc w:val="left"/>
      <w:pPr>
        <w:ind w:left="3114" w:hanging="241"/>
      </w:pPr>
    </w:lvl>
    <w:lvl w:ilvl="4" w:tentative="0">
      <w:start w:val="0"/>
      <w:numFmt w:val="bullet"/>
      <w:lvlText w:val="•"/>
      <w:lvlJc w:val="left"/>
      <w:pPr>
        <w:ind w:left="4032" w:hanging="241"/>
      </w:pPr>
    </w:lvl>
    <w:lvl w:ilvl="5" w:tentative="0">
      <w:start w:val="0"/>
      <w:numFmt w:val="bullet"/>
      <w:lvlText w:val="•"/>
      <w:lvlJc w:val="left"/>
      <w:pPr>
        <w:ind w:left="4950" w:hanging="241"/>
      </w:pPr>
    </w:lvl>
    <w:lvl w:ilvl="6" w:tentative="0">
      <w:start w:val="0"/>
      <w:numFmt w:val="bullet"/>
      <w:lvlText w:val="•"/>
      <w:lvlJc w:val="left"/>
      <w:pPr>
        <w:ind w:left="5868" w:hanging="241"/>
      </w:pPr>
    </w:lvl>
    <w:lvl w:ilvl="7" w:tentative="0">
      <w:start w:val="0"/>
      <w:numFmt w:val="bullet"/>
      <w:lvlText w:val="•"/>
      <w:lvlJc w:val="left"/>
      <w:pPr>
        <w:ind w:left="6786" w:hanging="241"/>
      </w:pPr>
    </w:lvl>
    <w:lvl w:ilvl="8" w:tentative="0">
      <w:start w:val="0"/>
      <w:numFmt w:val="bullet"/>
      <w:lvlText w:val="•"/>
      <w:lvlJc w:val="left"/>
      <w:pPr>
        <w:ind w:left="7704" w:hanging="241"/>
      </w:pPr>
    </w:lvl>
  </w:abstractNum>
  <w:abstractNum w:abstractNumId="1">
    <w:nsid w:val="00000403"/>
    <w:multiLevelType w:val="multilevel"/>
    <w:tmpl w:val="00000403"/>
    <w:lvl w:ilvl="0" w:tentative="0">
      <w:start w:val="1"/>
      <w:numFmt w:val="decimal"/>
      <w:lvlText w:val="%1."/>
      <w:lvlJc w:val="left"/>
      <w:pPr>
        <w:ind w:left="353" w:hanging="241"/>
      </w:pPr>
      <w:rPr>
        <w:rFonts w:ascii="宋体" w:hAnsi="Times New Roman" w:cs="宋体"/>
        <w:b w:val="0"/>
        <w:bCs w:val="0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278" w:hanging="241"/>
      </w:pPr>
    </w:lvl>
    <w:lvl w:ilvl="2" w:tentative="0">
      <w:start w:val="0"/>
      <w:numFmt w:val="bullet"/>
      <w:lvlText w:val="•"/>
      <w:lvlJc w:val="left"/>
      <w:pPr>
        <w:ind w:left="2196" w:hanging="241"/>
      </w:pPr>
    </w:lvl>
    <w:lvl w:ilvl="3" w:tentative="0">
      <w:start w:val="0"/>
      <w:numFmt w:val="bullet"/>
      <w:lvlText w:val="•"/>
      <w:lvlJc w:val="left"/>
      <w:pPr>
        <w:ind w:left="3114" w:hanging="241"/>
      </w:pPr>
    </w:lvl>
    <w:lvl w:ilvl="4" w:tentative="0">
      <w:start w:val="0"/>
      <w:numFmt w:val="bullet"/>
      <w:lvlText w:val="•"/>
      <w:lvlJc w:val="left"/>
      <w:pPr>
        <w:ind w:left="4032" w:hanging="241"/>
      </w:pPr>
    </w:lvl>
    <w:lvl w:ilvl="5" w:tentative="0">
      <w:start w:val="0"/>
      <w:numFmt w:val="bullet"/>
      <w:lvlText w:val="•"/>
      <w:lvlJc w:val="left"/>
      <w:pPr>
        <w:ind w:left="4950" w:hanging="241"/>
      </w:pPr>
    </w:lvl>
    <w:lvl w:ilvl="6" w:tentative="0">
      <w:start w:val="0"/>
      <w:numFmt w:val="bullet"/>
      <w:lvlText w:val="•"/>
      <w:lvlJc w:val="left"/>
      <w:pPr>
        <w:ind w:left="5868" w:hanging="241"/>
      </w:pPr>
    </w:lvl>
    <w:lvl w:ilvl="7" w:tentative="0">
      <w:start w:val="0"/>
      <w:numFmt w:val="bullet"/>
      <w:lvlText w:val="•"/>
      <w:lvlJc w:val="left"/>
      <w:pPr>
        <w:ind w:left="6786" w:hanging="241"/>
      </w:pPr>
    </w:lvl>
    <w:lvl w:ilvl="8" w:tentative="0">
      <w:start w:val="0"/>
      <w:numFmt w:val="bullet"/>
      <w:lvlText w:val="•"/>
      <w:lvlJc w:val="left"/>
      <w:pPr>
        <w:ind w:left="7704" w:hanging="241"/>
      </w:pPr>
    </w:lvl>
  </w:abstractNum>
  <w:abstractNum w:abstractNumId="2">
    <w:nsid w:val="00000404"/>
    <w:multiLevelType w:val="multilevel"/>
    <w:tmpl w:val="00000404"/>
    <w:lvl w:ilvl="0" w:tentative="0">
      <w:start w:val="4"/>
      <w:numFmt w:val="decimal"/>
      <w:lvlText w:val="%1."/>
      <w:lvlJc w:val="left"/>
      <w:pPr>
        <w:ind w:left="353" w:hanging="241"/>
      </w:pPr>
      <w:rPr>
        <w:rFonts w:ascii="宋体" w:hAnsi="Times New Roman" w:cs="宋体"/>
        <w:b w:val="0"/>
        <w:bCs w:val="0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278" w:hanging="241"/>
      </w:pPr>
    </w:lvl>
    <w:lvl w:ilvl="2" w:tentative="0">
      <w:start w:val="0"/>
      <w:numFmt w:val="bullet"/>
      <w:lvlText w:val="•"/>
      <w:lvlJc w:val="left"/>
      <w:pPr>
        <w:ind w:left="2196" w:hanging="241"/>
      </w:pPr>
    </w:lvl>
    <w:lvl w:ilvl="3" w:tentative="0">
      <w:start w:val="0"/>
      <w:numFmt w:val="bullet"/>
      <w:lvlText w:val="•"/>
      <w:lvlJc w:val="left"/>
      <w:pPr>
        <w:ind w:left="3114" w:hanging="241"/>
      </w:pPr>
    </w:lvl>
    <w:lvl w:ilvl="4" w:tentative="0">
      <w:start w:val="0"/>
      <w:numFmt w:val="bullet"/>
      <w:lvlText w:val="•"/>
      <w:lvlJc w:val="left"/>
      <w:pPr>
        <w:ind w:left="4032" w:hanging="241"/>
      </w:pPr>
    </w:lvl>
    <w:lvl w:ilvl="5" w:tentative="0">
      <w:start w:val="0"/>
      <w:numFmt w:val="bullet"/>
      <w:lvlText w:val="•"/>
      <w:lvlJc w:val="left"/>
      <w:pPr>
        <w:ind w:left="4950" w:hanging="241"/>
      </w:pPr>
    </w:lvl>
    <w:lvl w:ilvl="6" w:tentative="0">
      <w:start w:val="0"/>
      <w:numFmt w:val="bullet"/>
      <w:lvlText w:val="•"/>
      <w:lvlJc w:val="left"/>
      <w:pPr>
        <w:ind w:left="5868" w:hanging="241"/>
      </w:pPr>
    </w:lvl>
    <w:lvl w:ilvl="7" w:tentative="0">
      <w:start w:val="0"/>
      <w:numFmt w:val="bullet"/>
      <w:lvlText w:val="•"/>
      <w:lvlJc w:val="left"/>
      <w:pPr>
        <w:ind w:left="6786" w:hanging="241"/>
      </w:pPr>
    </w:lvl>
    <w:lvl w:ilvl="8" w:tentative="0">
      <w:start w:val="0"/>
      <w:numFmt w:val="bullet"/>
      <w:lvlText w:val="•"/>
      <w:lvlJc w:val="left"/>
      <w:pPr>
        <w:ind w:left="7704" w:hanging="241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MWY1NmUzNmI1ZjkxNWYyMDYwNGExZDNhYTFlNzEifQ=="/>
  </w:docVars>
  <w:rsids>
    <w:rsidRoot w:val="52CF79BD"/>
    <w:rsid w:val="52C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宋体" w:hAnsi="Times New Roman"/>
      <w:kern w:val="0"/>
      <w:sz w:val="32"/>
      <w:szCs w:val="3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6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宋体" w:hAnsi="Times New Roman" w:cs="宋体"/>
      <w:kern w:val="0"/>
      <w:sz w:val="24"/>
    </w:rPr>
  </w:style>
  <w:style w:type="paragraph" w:styleId="7">
    <w:name w:val="List Paragraph"/>
    <w:basedOn w:val="1"/>
    <w:qFormat/>
    <w:uiPriority w:val="1"/>
    <w:pPr>
      <w:autoSpaceDE w:val="0"/>
      <w:autoSpaceDN w:val="0"/>
      <w:adjustRightInd w:val="0"/>
      <w:ind w:left="353" w:right="340" w:firstLine="641"/>
      <w:jc w:val="left"/>
    </w:pPr>
    <w:rPr>
      <w:rFonts w:ascii="宋体" w:hAnsi="Times New Roman" w:cs="宋体"/>
      <w:kern w:val="0"/>
      <w:sz w:val="24"/>
    </w:rPr>
  </w:style>
  <w:style w:type="paragraph" w:customStyle="1" w:styleId="8">
    <w:name w:val="Other|1"/>
    <w:basedOn w:val="1"/>
    <w:qFormat/>
    <w:uiPriority w:val="0"/>
    <w:pPr>
      <w:spacing w:line="389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2024-06-28T08:50:00Z</dcterms:created>
  <dc:creator>(눈_눈)</dc:creator>
  <cp:lastModifiedBy>(눈_눈)</cp:lastModifiedBy>
  <dcterms:modified xsi:type="dcterms:W3CDTF">2024-06-28T08:51:14Z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535D0269724547C58C68B93FD94C881D_11</vt:lpwstr>
  </property>
</Properties>
</file>