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60" w:lineRule="exact"/>
        <w:rPr>
          <w:rFonts w:ascii="黑体" w:hAnsi="黑体" w:eastAsia="黑体" w:cs="仿宋"/>
          <w:color w:val="auto"/>
          <w:kern w:val="0"/>
          <w:sz w:val="32"/>
          <w:szCs w:val="32"/>
          <w:highlight w:val="none"/>
        </w:rPr>
      </w:pPr>
      <w:bookmarkStart w:id="0" w:name="_GoBack"/>
      <w:r>
        <w:rPr>
          <w:rFonts w:hint="eastAsia" w:ascii="黑体" w:hAnsi="黑体" w:eastAsia="黑体" w:cs="仿宋"/>
          <w:color w:val="auto"/>
          <w:kern w:val="0"/>
          <w:sz w:val="32"/>
          <w:szCs w:val="32"/>
          <w:highlight w:val="none"/>
        </w:rPr>
        <w:t>附件2</w:t>
      </w:r>
    </w:p>
    <w:p>
      <w:pPr>
        <w:snapToGrid w:val="0"/>
        <w:spacing w:line="560" w:lineRule="exact"/>
        <w:rPr>
          <w:rFonts w:hint="eastAsia" w:ascii="黑体" w:hAnsi="黑体" w:eastAsia="黑体" w:cs="仿宋"/>
          <w:color w:val="auto"/>
          <w:kern w:val="0"/>
          <w:sz w:val="32"/>
          <w:szCs w:val="32"/>
          <w:highlight w:val="none"/>
        </w:rPr>
      </w:pPr>
    </w:p>
    <w:p>
      <w:pPr>
        <w:pStyle w:val="3"/>
        <w:adjustRightInd w:val="0"/>
        <w:snapToGrid w:val="0"/>
        <w:spacing w:line="560" w:lineRule="exact"/>
        <w:jc w:val="center"/>
        <w:rPr>
          <w:rFonts w:hint="eastAsia" w:ascii="方正小标宋简体" w:hAnsi="仿宋" w:eastAsia="方正小标宋简体" w:cs="华光大标宋_CNKI"/>
          <w:color w:val="auto"/>
          <w:sz w:val="44"/>
          <w:szCs w:val="44"/>
          <w:highlight w:val="none"/>
        </w:rPr>
      </w:pPr>
      <w:r>
        <w:rPr>
          <w:rFonts w:hint="eastAsia" w:ascii="方正小标宋简体" w:hAnsi="仿宋" w:eastAsia="方正小标宋简体" w:cs="华光大标宋_CNKI"/>
          <w:bCs/>
          <w:color w:val="auto"/>
          <w:sz w:val="44"/>
          <w:szCs w:val="44"/>
          <w:highlight w:val="none"/>
        </w:rPr>
        <w:t>开平市2024年中央农业防灾减灾和水利救灾资金（防灾救灾第三批）—水稻病虫害统防统治项目实施主体遴选评审办法</w:t>
      </w:r>
    </w:p>
    <w:bookmarkEnd w:id="0"/>
    <w:p>
      <w:pPr>
        <w:pStyle w:val="3"/>
        <w:snapToGrid w:val="0"/>
        <w:spacing w:line="560" w:lineRule="exact"/>
        <w:ind w:firstLine="640"/>
        <w:rPr>
          <w:rFonts w:hint="eastAsia" w:ascii="仿宋" w:hAnsi="仿宋" w:eastAsia="仿宋" w:cs="仿宋_GB2312"/>
          <w:color w:val="auto"/>
          <w:sz w:val="32"/>
          <w:szCs w:val="32"/>
          <w:highlight w:val="none"/>
        </w:rPr>
      </w:pPr>
    </w:p>
    <w:p>
      <w:pPr>
        <w:pStyle w:val="3"/>
        <w:snapToGrid w:val="0"/>
        <w:spacing w:line="560" w:lineRule="exact"/>
        <w:ind w:firstLine="640"/>
        <w:rPr>
          <w:rFonts w:ascii="仿宋" w:hAnsi="仿宋" w:eastAsia="仿宋" w:cs="仿宋_GB2312"/>
          <w:color w:val="auto"/>
          <w:sz w:val="32"/>
          <w:szCs w:val="32"/>
          <w:highlight w:val="none"/>
        </w:rPr>
      </w:pPr>
      <w:r>
        <w:rPr>
          <w:rFonts w:hint="eastAsia" w:ascii="仿宋" w:hAnsi="仿宋" w:eastAsia="仿宋" w:cs="仿宋_GB2312"/>
          <w:color w:val="auto"/>
          <w:sz w:val="32"/>
          <w:szCs w:val="32"/>
          <w:highlight w:val="none"/>
        </w:rPr>
        <w:t>为保证遴选工作“公开、公平、公正”进行，特拟定遴选评审办法，具体如下：</w:t>
      </w:r>
    </w:p>
    <w:p>
      <w:pPr>
        <w:spacing w:line="560" w:lineRule="exact"/>
        <w:ind w:firstLine="600"/>
        <w:rPr>
          <w:rFonts w:hint="eastAsia" w:ascii="仿宋" w:hAnsi="仿宋" w:eastAsia="仿宋" w:cs="仿宋"/>
          <w:color w:val="auto"/>
          <w:sz w:val="32"/>
          <w:szCs w:val="32"/>
          <w:highlight w:val="none"/>
        </w:rPr>
      </w:pPr>
      <w:r>
        <w:rPr>
          <w:rFonts w:hint="eastAsia" w:ascii="黑体" w:hAnsi="黑体" w:eastAsia="黑体" w:cs="黑体"/>
          <w:color w:val="auto"/>
          <w:sz w:val="32"/>
          <w:szCs w:val="32"/>
          <w:highlight w:val="none"/>
        </w:rPr>
        <w:t>一、项目</w:t>
      </w:r>
      <w:r>
        <w:rPr>
          <w:rFonts w:ascii="黑体" w:hAnsi="黑体" w:eastAsia="黑体" w:cs="黑体"/>
          <w:color w:val="auto"/>
          <w:sz w:val="32"/>
          <w:szCs w:val="32"/>
          <w:highlight w:val="none"/>
        </w:rPr>
        <w:t>内容</w:t>
      </w:r>
    </w:p>
    <w:p>
      <w:pPr>
        <w:spacing w:line="560" w:lineRule="exact"/>
        <w:ind w:firstLine="640" w:firstLineChars="200"/>
        <w:rPr>
          <w:rFonts w:ascii="仿宋" w:hAnsi="仿宋" w:eastAsia="仿宋" w:cs="仿宋_GB2312"/>
          <w:color w:val="auto"/>
          <w:sz w:val="32"/>
          <w:szCs w:val="32"/>
          <w:highlight w:val="none"/>
        </w:rPr>
      </w:pPr>
      <w:r>
        <w:rPr>
          <w:rFonts w:hint="eastAsia" w:ascii="仿宋" w:hAnsi="仿宋" w:eastAsia="仿宋" w:cs="仿宋"/>
          <w:color w:val="auto"/>
          <w:sz w:val="32"/>
          <w:szCs w:val="32"/>
          <w:highlight w:val="none"/>
        </w:rPr>
        <w:t>由实施主体自行选择服务对象，开展水稻病虫害（主要为“三虫两病”，即稻纵卷叶螟、稻飞虱、钻蛀性螟虫、纹枯病、白叶枯病）全程统防统治服务。实施水稻统防统治面积3</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rPr>
        <w:t>726万亩</w:t>
      </w:r>
      <w:r>
        <w:rPr>
          <w:rFonts w:hint="eastAsia" w:ascii="仿宋" w:hAnsi="仿宋" w:eastAsia="仿宋" w:cs="仿宋"/>
          <w:color w:val="auto"/>
          <w:sz w:val="32"/>
          <w:szCs w:val="32"/>
          <w:highlight w:val="none"/>
          <w:lang w:eastAsia="zh-CN"/>
        </w:rPr>
        <w:t>次</w:t>
      </w:r>
      <w:r>
        <w:rPr>
          <w:rFonts w:hint="eastAsia" w:ascii="仿宋" w:hAnsi="仿宋" w:eastAsia="仿宋" w:cs="仿宋"/>
          <w:color w:val="auto"/>
          <w:sz w:val="32"/>
          <w:szCs w:val="32"/>
          <w:highlight w:val="none"/>
        </w:rPr>
        <w:t>。</w:t>
      </w:r>
    </w:p>
    <w:p>
      <w:pPr>
        <w:snapToGrid w:val="0"/>
        <w:spacing w:line="560" w:lineRule="exact"/>
        <w:ind w:firstLine="640" w:firstLineChars="20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二、评审程序及标准</w:t>
      </w:r>
    </w:p>
    <w:p>
      <w:pPr>
        <w:pStyle w:val="3"/>
        <w:spacing w:line="560" w:lineRule="exact"/>
        <w:ind w:firstLine="640" w:firstLineChars="200"/>
        <w:rPr>
          <w:rFonts w:hint="eastAsia" w:ascii="仿宋" w:hAnsi="仿宋" w:eastAsia="仿宋" w:cs="仿宋_GB2312"/>
          <w:color w:val="auto"/>
          <w:sz w:val="32"/>
          <w:szCs w:val="32"/>
          <w:highlight w:val="none"/>
        </w:rPr>
      </w:pPr>
      <w:r>
        <w:rPr>
          <w:rFonts w:hint="eastAsia" w:ascii="仿宋" w:hAnsi="仿宋" w:eastAsia="仿宋" w:cs="仿宋"/>
          <w:color w:val="auto"/>
          <w:sz w:val="32"/>
          <w:szCs w:val="32"/>
          <w:highlight w:val="none"/>
        </w:rPr>
        <w:t>成立项目遴选</w:t>
      </w:r>
      <w:r>
        <w:rPr>
          <w:rFonts w:hint="eastAsia" w:ascii="仿宋" w:hAnsi="仿宋" w:eastAsia="仿宋" w:cs="仿宋_GB2312"/>
          <w:color w:val="auto"/>
          <w:sz w:val="32"/>
          <w:szCs w:val="32"/>
          <w:highlight w:val="none"/>
        </w:rPr>
        <w:t>评审专家组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eastAsia="zh-CN"/>
        </w:rPr>
        <w:t>申报</w:t>
      </w:r>
      <w:r>
        <w:rPr>
          <w:rFonts w:hint="eastAsia" w:ascii="仿宋" w:hAnsi="仿宋" w:eastAsia="仿宋" w:cs="仿宋"/>
          <w:color w:val="auto"/>
          <w:sz w:val="32"/>
          <w:szCs w:val="32"/>
          <w:highlight w:val="none"/>
        </w:rPr>
        <w:t>书进行</w:t>
      </w:r>
      <w:r>
        <w:rPr>
          <w:rFonts w:hint="eastAsia" w:ascii="仿宋" w:hAnsi="仿宋" w:eastAsia="仿宋" w:cs="仿宋"/>
          <w:color w:val="auto"/>
          <w:sz w:val="32"/>
          <w:szCs w:val="32"/>
          <w:highlight w:val="none"/>
          <w:lang w:eastAsia="zh-CN"/>
        </w:rPr>
        <w:t>资格性</w:t>
      </w:r>
      <w:r>
        <w:rPr>
          <w:rFonts w:hint="eastAsia" w:ascii="仿宋" w:hAnsi="仿宋" w:eastAsia="仿宋" w:cs="仿宋"/>
          <w:color w:val="auto"/>
          <w:sz w:val="32"/>
          <w:szCs w:val="32"/>
          <w:highlight w:val="none"/>
        </w:rPr>
        <w:t>评审</w:t>
      </w:r>
      <w:r>
        <w:rPr>
          <w:rFonts w:hint="eastAsia" w:ascii="仿宋" w:hAnsi="仿宋" w:eastAsia="仿宋" w:cs="仿宋"/>
          <w:color w:val="auto"/>
          <w:sz w:val="32"/>
          <w:szCs w:val="32"/>
          <w:highlight w:val="none"/>
          <w:lang w:eastAsia="zh-CN"/>
        </w:rPr>
        <w:t>和综合性评审</w:t>
      </w:r>
      <w:r>
        <w:rPr>
          <w:rFonts w:ascii="仿宋" w:hAnsi="仿宋" w:eastAsia="仿宋" w:cs="仿宋"/>
          <w:color w:val="auto"/>
          <w:sz w:val="32"/>
          <w:szCs w:val="32"/>
          <w:highlight w:val="none"/>
          <w:lang w:eastAsia="zh-CN"/>
        </w:rPr>
        <w:t>评分</w:t>
      </w:r>
      <w:r>
        <w:rPr>
          <w:rFonts w:hint="eastAsia" w:ascii="仿宋" w:hAnsi="仿宋" w:eastAsia="仿宋" w:cs="仿宋"/>
          <w:color w:val="auto"/>
          <w:sz w:val="32"/>
          <w:szCs w:val="32"/>
          <w:highlight w:val="none"/>
          <w:lang w:eastAsia="zh-CN"/>
        </w:rPr>
        <w:t>。</w:t>
      </w:r>
      <w:r>
        <w:rPr>
          <w:rFonts w:hint="eastAsia" w:ascii="仿宋" w:hAnsi="仿宋" w:eastAsia="仿宋" w:cs="仿宋_GB2312"/>
          <w:color w:val="auto"/>
          <w:sz w:val="32"/>
          <w:szCs w:val="32"/>
          <w:highlight w:val="none"/>
        </w:rPr>
        <w:t>评审专家组</w:t>
      </w:r>
      <w:r>
        <w:rPr>
          <w:rFonts w:hint="eastAsia" w:ascii="仿宋" w:hAnsi="仿宋" w:eastAsia="仿宋" w:cs="仿宋_GB2312"/>
          <w:color w:val="auto"/>
          <w:sz w:val="32"/>
          <w:szCs w:val="32"/>
          <w:highlight w:val="none"/>
          <w:lang w:eastAsia="zh-CN"/>
        </w:rPr>
        <w:t>对</w:t>
      </w:r>
      <w:r>
        <w:rPr>
          <w:rFonts w:hint="eastAsia" w:ascii="仿宋" w:hAnsi="仿宋" w:eastAsia="仿宋"/>
          <w:bCs/>
          <w:color w:val="auto"/>
          <w:sz w:val="32"/>
          <w:szCs w:val="32"/>
          <w:highlight w:val="none"/>
        </w:rPr>
        <w:t>服务组织</w:t>
      </w:r>
      <w:r>
        <w:rPr>
          <w:rFonts w:hint="eastAsia" w:ascii="仿宋" w:hAnsi="仿宋" w:eastAsia="仿宋" w:cs="仿宋_GB2312"/>
          <w:color w:val="auto"/>
          <w:sz w:val="32"/>
          <w:szCs w:val="32"/>
          <w:highlight w:val="none"/>
          <w:lang w:eastAsia="zh-CN"/>
        </w:rPr>
        <w:t>每项</w:t>
      </w:r>
      <w:r>
        <w:rPr>
          <w:rFonts w:ascii="仿宋" w:hAnsi="仿宋" w:eastAsia="仿宋" w:cs="仿宋"/>
          <w:color w:val="auto"/>
          <w:sz w:val="32"/>
          <w:szCs w:val="32"/>
          <w:highlight w:val="none"/>
          <w:lang w:eastAsia="zh-CN"/>
        </w:rPr>
        <w:t>评分</w:t>
      </w:r>
      <w:r>
        <w:rPr>
          <w:rFonts w:hint="eastAsia" w:ascii="仿宋" w:hAnsi="仿宋" w:eastAsia="仿宋" w:cs="仿宋"/>
          <w:color w:val="auto"/>
          <w:sz w:val="32"/>
          <w:szCs w:val="32"/>
          <w:highlight w:val="none"/>
          <w:lang w:eastAsia="zh-CN"/>
        </w:rPr>
        <w:t>的</w:t>
      </w:r>
      <w:r>
        <w:rPr>
          <w:rFonts w:ascii="仿宋" w:hAnsi="仿宋" w:eastAsia="仿宋" w:cs="仿宋"/>
          <w:color w:val="auto"/>
          <w:sz w:val="32"/>
          <w:szCs w:val="32"/>
          <w:highlight w:val="none"/>
          <w:lang w:eastAsia="zh-CN"/>
        </w:rPr>
        <w:t>算术</w:t>
      </w:r>
      <w:r>
        <w:rPr>
          <w:rFonts w:hint="eastAsia" w:ascii="仿宋" w:hAnsi="仿宋" w:eastAsia="仿宋" w:cs="仿宋_GB2312"/>
          <w:color w:val="auto"/>
          <w:sz w:val="32"/>
          <w:szCs w:val="32"/>
          <w:highlight w:val="none"/>
        </w:rPr>
        <w:t>平均值</w:t>
      </w:r>
      <w:r>
        <w:rPr>
          <w:rFonts w:hint="eastAsia" w:ascii="仿宋" w:hAnsi="仿宋" w:eastAsia="仿宋" w:cs="仿宋_GB2312"/>
          <w:color w:val="auto"/>
          <w:sz w:val="32"/>
          <w:szCs w:val="32"/>
          <w:highlight w:val="none"/>
          <w:lang w:eastAsia="zh-CN"/>
        </w:rPr>
        <w:t>四舍五入保留小数点后两位，</w:t>
      </w:r>
      <w:r>
        <w:rPr>
          <w:rFonts w:ascii="仿宋" w:hAnsi="仿宋" w:eastAsia="仿宋" w:cs="仿宋_GB2312"/>
          <w:color w:val="auto"/>
          <w:sz w:val="32"/>
          <w:szCs w:val="32"/>
          <w:highlight w:val="none"/>
          <w:lang w:eastAsia="zh-CN"/>
        </w:rPr>
        <w:t>为</w:t>
      </w:r>
      <w:r>
        <w:rPr>
          <w:rFonts w:hint="eastAsia" w:ascii="仿宋" w:hAnsi="仿宋" w:eastAsia="仿宋"/>
          <w:bCs/>
          <w:color w:val="auto"/>
          <w:sz w:val="32"/>
          <w:szCs w:val="32"/>
          <w:highlight w:val="none"/>
        </w:rPr>
        <w:t>服务组织</w:t>
      </w:r>
      <w:r>
        <w:rPr>
          <w:rFonts w:hint="eastAsia" w:ascii="仿宋" w:hAnsi="仿宋" w:eastAsia="仿宋" w:cs="仿宋"/>
          <w:color w:val="auto"/>
          <w:sz w:val="32"/>
          <w:szCs w:val="32"/>
          <w:highlight w:val="none"/>
          <w:lang w:eastAsia="zh-CN"/>
        </w:rPr>
        <w:t>该项的评审得</w:t>
      </w:r>
      <w:r>
        <w:rPr>
          <w:rFonts w:ascii="仿宋" w:hAnsi="仿宋" w:eastAsia="仿宋" w:cs="仿宋"/>
          <w:color w:val="auto"/>
          <w:sz w:val="32"/>
          <w:szCs w:val="32"/>
          <w:highlight w:val="none"/>
          <w:lang w:eastAsia="zh-CN"/>
        </w:rPr>
        <w:t>分</w:t>
      </w:r>
      <w:r>
        <w:rPr>
          <w:rFonts w:hint="eastAsia" w:ascii="仿宋" w:hAnsi="仿宋" w:eastAsia="仿宋" w:cs="仿宋"/>
          <w:color w:val="auto"/>
          <w:sz w:val="32"/>
          <w:szCs w:val="32"/>
          <w:highlight w:val="none"/>
          <w:lang w:eastAsia="zh-CN"/>
        </w:rPr>
        <w:t>。</w:t>
      </w:r>
      <w:r>
        <w:rPr>
          <w:rFonts w:hint="eastAsia" w:ascii="仿宋" w:hAnsi="仿宋" w:eastAsia="仿宋"/>
          <w:bCs/>
          <w:color w:val="auto"/>
          <w:sz w:val="32"/>
          <w:szCs w:val="32"/>
          <w:highlight w:val="none"/>
        </w:rPr>
        <w:t>服务组织</w:t>
      </w:r>
      <w:r>
        <w:rPr>
          <w:rFonts w:ascii="仿宋" w:hAnsi="仿宋" w:eastAsia="仿宋" w:cs="仿宋"/>
          <w:color w:val="auto"/>
          <w:sz w:val="32"/>
          <w:szCs w:val="32"/>
          <w:highlight w:val="none"/>
          <w:lang w:eastAsia="zh-CN"/>
        </w:rPr>
        <w:t>各项</w:t>
      </w:r>
      <w:r>
        <w:rPr>
          <w:rFonts w:hint="eastAsia" w:ascii="仿宋" w:hAnsi="仿宋" w:eastAsia="仿宋" w:cs="仿宋"/>
          <w:color w:val="auto"/>
          <w:sz w:val="32"/>
          <w:szCs w:val="32"/>
          <w:highlight w:val="none"/>
          <w:lang w:eastAsia="zh-CN"/>
        </w:rPr>
        <w:t>评审得</w:t>
      </w:r>
      <w:r>
        <w:rPr>
          <w:rFonts w:ascii="仿宋" w:hAnsi="仿宋" w:eastAsia="仿宋" w:cs="仿宋"/>
          <w:color w:val="auto"/>
          <w:sz w:val="32"/>
          <w:szCs w:val="32"/>
          <w:highlight w:val="none"/>
          <w:lang w:eastAsia="zh-CN"/>
        </w:rPr>
        <w:t>分</w:t>
      </w:r>
      <w:r>
        <w:rPr>
          <w:rFonts w:hint="eastAsia" w:ascii="仿宋" w:hAnsi="仿宋" w:eastAsia="仿宋" w:cs="仿宋"/>
          <w:color w:val="auto"/>
          <w:sz w:val="32"/>
          <w:szCs w:val="32"/>
          <w:highlight w:val="none"/>
          <w:lang w:eastAsia="zh-CN"/>
        </w:rPr>
        <w:t>之和，</w:t>
      </w:r>
      <w:r>
        <w:rPr>
          <w:rFonts w:ascii="仿宋" w:hAnsi="仿宋" w:eastAsia="仿宋" w:cs="仿宋"/>
          <w:color w:val="auto"/>
          <w:sz w:val="32"/>
          <w:szCs w:val="32"/>
          <w:highlight w:val="none"/>
          <w:lang w:eastAsia="zh-CN"/>
        </w:rPr>
        <w:t>为</w:t>
      </w:r>
      <w:r>
        <w:rPr>
          <w:rFonts w:hint="eastAsia" w:ascii="仿宋" w:hAnsi="仿宋" w:eastAsia="仿宋"/>
          <w:bCs/>
          <w:color w:val="auto"/>
          <w:sz w:val="32"/>
          <w:szCs w:val="32"/>
          <w:highlight w:val="none"/>
        </w:rPr>
        <w:t>服务组织</w:t>
      </w:r>
      <w:r>
        <w:rPr>
          <w:rFonts w:hint="eastAsia" w:ascii="仿宋" w:hAnsi="仿宋" w:eastAsia="仿宋" w:cs="仿宋"/>
          <w:color w:val="auto"/>
          <w:sz w:val="32"/>
          <w:szCs w:val="32"/>
          <w:highlight w:val="none"/>
          <w:lang w:eastAsia="zh-CN"/>
        </w:rPr>
        <w:t>综合性评审总得</w:t>
      </w:r>
      <w:r>
        <w:rPr>
          <w:rFonts w:ascii="仿宋" w:hAnsi="仿宋" w:eastAsia="仿宋" w:cs="仿宋"/>
          <w:color w:val="auto"/>
          <w:sz w:val="32"/>
          <w:szCs w:val="32"/>
          <w:highlight w:val="none"/>
          <w:lang w:eastAsia="zh-CN"/>
        </w:rPr>
        <w:t>分</w:t>
      </w:r>
      <w:r>
        <w:rPr>
          <w:rFonts w:hint="eastAsia" w:ascii="仿宋" w:hAnsi="仿宋" w:eastAsia="仿宋" w:cs="仿宋"/>
          <w:color w:val="auto"/>
          <w:sz w:val="32"/>
          <w:szCs w:val="32"/>
          <w:highlight w:val="none"/>
        </w:rPr>
        <w:t>。</w:t>
      </w:r>
      <w:r>
        <w:rPr>
          <w:rFonts w:hint="eastAsia" w:ascii="仿宋" w:hAnsi="仿宋" w:eastAsia="仿宋" w:cs="仿宋_GB2312"/>
          <w:color w:val="auto"/>
          <w:sz w:val="32"/>
          <w:szCs w:val="32"/>
          <w:highlight w:val="none"/>
        </w:rPr>
        <w:t>将综合得分从高到低排出名次，综合得分60分以上的评为</w:t>
      </w:r>
      <w:r>
        <w:rPr>
          <w:rFonts w:hint="eastAsia" w:ascii="仿宋" w:hAnsi="仿宋" w:eastAsia="仿宋" w:cs="仿宋_GB2312"/>
          <w:color w:val="auto"/>
          <w:sz w:val="32"/>
          <w:szCs w:val="32"/>
          <w:highlight w:val="none"/>
          <w:lang w:eastAsia="zh-CN"/>
        </w:rPr>
        <w:t>本项目</w:t>
      </w:r>
      <w:r>
        <w:rPr>
          <w:rFonts w:hint="eastAsia" w:ascii="仿宋" w:hAnsi="仿宋" w:eastAsia="仿宋" w:cs="仿宋_GB2312"/>
          <w:color w:val="auto"/>
          <w:sz w:val="32"/>
          <w:szCs w:val="32"/>
          <w:highlight w:val="none"/>
        </w:rPr>
        <w:t>候选人。根据专家评审结果，推荐排名</w:t>
      </w:r>
      <w:r>
        <w:rPr>
          <w:rFonts w:hint="eastAsia" w:ascii="仿宋_GB2312" w:hAnsi="仿宋_GB2312" w:eastAsia="仿宋_GB2312" w:cs="仿宋_GB2312"/>
          <w:color w:val="auto"/>
          <w:sz w:val="30"/>
          <w:szCs w:val="30"/>
          <w:highlight w:val="none"/>
          <w:lang w:eastAsia="zh-CN"/>
        </w:rPr>
        <w:t>第一</w:t>
      </w:r>
      <w:r>
        <w:rPr>
          <w:rFonts w:hint="eastAsia" w:ascii="仿宋" w:hAnsi="仿宋" w:eastAsia="仿宋" w:cs="仿宋_GB2312"/>
          <w:color w:val="auto"/>
          <w:sz w:val="32"/>
          <w:szCs w:val="32"/>
          <w:highlight w:val="none"/>
        </w:rPr>
        <w:t>为本项目</w:t>
      </w:r>
      <w:r>
        <w:rPr>
          <w:rFonts w:hint="eastAsia" w:ascii="仿宋" w:hAnsi="仿宋" w:eastAsia="仿宋" w:cs="仿宋_GB2312"/>
          <w:color w:val="auto"/>
          <w:sz w:val="32"/>
          <w:szCs w:val="32"/>
          <w:highlight w:val="none"/>
          <w:lang w:eastAsia="zh-CN"/>
        </w:rPr>
        <w:t>实施主体</w:t>
      </w:r>
      <w:r>
        <w:rPr>
          <w:rFonts w:hint="eastAsia" w:ascii="仿宋" w:hAnsi="仿宋" w:eastAsia="仿宋" w:cs="仿宋"/>
          <w:color w:val="auto"/>
          <w:sz w:val="32"/>
          <w:szCs w:val="32"/>
          <w:highlight w:val="none"/>
        </w:rPr>
        <w:t>。</w:t>
      </w:r>
    </w:p>
    <w:p>
      <w:pPr>
        <w:snapToGrid w:val="0"/>
        <w:spacing w:line="560" w:lineRule="exact"/>
        <w:ind w:firstLine="600"/>
        <w:rPr>
          <w:rFonts w:hint="eastAsia" w:ascii="楷体" w:hAnsi="楷体" w:eastAsia="楷体" w:cs="仿宋"/>
          <w:bCs/>
          <w:color w:val="auto"/>
          <w:sz w:val="32"/>
          <w:szCs w:val="32"/>
          <w:highlight w:val="none"/>
        </w:rPr>
      </w:pPr>
      <w:r>
        <w:rPr>
          <w:rFonts w:hint="eastAsia" w:ascii="楷体" w:hAnsi="楷体" w:eastAsia="楷体" w:cs="仿宋"/>
          <w:bCs/>
          <w:color w:val="auto"/>
          <w:sz w:val="32"/>
          <w:szCs w:val="32"/>
          <w:highlight w:val="none"/>
        </w:rPr>
        <w:t>（一）资格性评审</w:t>
      </w:r>
    </w:p>
    <w:p>
      <w:pPr>
        <w:snapToGrid w:val="0"/>
        <w:spacing w:line="560" w:lineRule="exact"/>
        <w:ind w:firstLine="660"/>
        <w:jc w:val="left"/>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对</w:t>
      </w:r>
      <w:r>
        <w:rPr>
          <w:rFonts w:hint="eastAsia" w:ascii="仿宋" w:hAnsi="仿宋" w:eastAsia="仿宋"/>
          <w:bCs/>
          <w:color w:val="auto"/>
          <w:sz w:val="32"/>
          <w:szCs w:val="32"/>
          <w:highlight w:val="none"/>
        </w:rPr>
        <w:t>服务</w:t>
      </w:r>
      <w:r>
        <w:rPr>
          <w:rFonts w:hint="eastAsia" w:ascii="仿宋" w:hAnsi="仿宋" w:eastAsia="仿宋" w:cs="仿宋_GB2312"/>
          <w:color w:val="auto"/>
          <w:sz w:val="32"/>
          <w:szCs w:val="32"/>
          <w:highlight w:val="none"/>
        </w:rPr>
        <w:t>组织</w:t>
      </w:r>
      <w:r>
        <w:rPr>
          <w:rFonts w:hint="eastAsia" w:ascii="仿宋" w:hAnsi="仿宋" w:eastAsia="仿宋" w:cs="仿宋"/>
          <w:color w:val="auto"/>
          <w:sz w:val="32"/>
          <w:szCs w:val="32"/>
          <w:highlight w:val="none"/>
        </w:rPr>
        <w:t>资格性进行评审，具体见《资格性评审表》，通过后进行综合性评审。</w:t>
      </w:r>
    </w:p>
    <w:p>
      <w:pPr>
        <w:snapToGrid w:val="0"/>
        <w:spacing w:line="560" w:lineRule="exact"/>
        <w:jc w:val="center"/>
        <w:rPr>
          <w:rFonts w:ascii="仿宋" w:hAnsi="仿宋" w:eastAsia="仿宋" w:cs="仿宋"/>
          <w:color w:val="auto"/>
          <w:sz w:val="32"/>
          <w:szCs w:val="32"/>
          <w:highlight w:val="none"/>
        </w:rPr>
      </w:pPr>
      <w:r>
        <w:rPr>
          <w:rFonts w:hint="eastAsia" w:ascii="仿宋" w:hAnsi="仿宋" w:eastAsia="仿宋" w:cs="仿宋"/>
          <w:bCs/>
          <w:color w:val="auto"/>
          <w:sz w:val="32"/>
          <w:szCs w:val="32"/>
          <w:highlight w:val="none"/>
        </w:rPr>
        <w:t>资格性评审表</w:t>
      </w:r>
    </w:p>
    <w:tbl>
      <w:tblPr>
        <w:tblStyle w:val="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9"/>
        <w:gridCol w:w="7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40" w:type="pct"/>
            <w:noWrap w:val="0"/>
            <w:vAlign w:val="center"/>
          </w:tcPr>
          <w:p>
            <w:pPr>
              <w:pStyle w:val="3"/>
              <w:snapToGrid w:val="0"/>
              <w:spacing w:line="440" w:lineRule="exact"/>
              <w:jc w:val="center"/>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序号</w:t>
            </w:r>
          </w:p>
        </w:tc>
        <w:tc>
          <w:tcPr>
            <w:tcW w:w="4660" w:type="pct"/>
            <w:noWrap w:val="0"/>
            <w:vAlign w:val="center"/>
          </w:tcPr>
          <w:p>
            <w:pPr>
              <w:pStyle w:val="3"/>
              <w:snapToGrid w:val="0"/>
              <w:spacing w:line="440" w:lineRule="exact"/>
              <w:jc w:val="center"/>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40" w:type="pct"/>
            <w:noWrap w:val="0"/>
            <w:vAlign w:val="center"/>
          </w:tcPr>
          <w:p>
            <w:pPr>
              <w:snapToGrid w:val="0"/>
              <w:spacing w:line="440" w:lineRule="exact"/>
              <w:jc w:val="cente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1</w:t>
            </w:r>
          </w:p>
        </w:tc>
        <w:tc>
          <w:tcPr>
            <w:tcW w:w="4660" w:type="pct"/>
            <w:noWrap w:val="0"/>
            <w:vAlign w:val="center"/>
          </w:tcPr>
          <w:p>
            <w:pPr>
              <w:snapToGrid w:val="0"/>
              <w:spacing w:line="44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在市场监督管理部门依法注册登记，具有法人资格。营业执照、开户许可证等证照齐全。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40" w:type="pct"/>
            <w:noWrap w:val="0"/>
            <w:vAlign w:val="center"/>
          </w:tcPr>
          <w:p>
            <w:pPr>
              <w:snapToGrid w:val="0"/>
              <w:spacing w:line="440" w:lineRule="exact"/>
              <w:jc w:val="cente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2</w:t>
            </w:r>
          </w:p>
        </w:tc>
        <w:tc>
          <w:tcPr>
            <w:tcW w:w="4660" w:type="pct"/>
            <w:noWrap w:val="0"/>
            <w:vAlign w:val="center"/>
          </w:tcPr>
          <w:p>
            <w:pPr>
              <w:snapToGrid w:val="0"/>
              <w:spacing w:line="44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营业执照经营范围须包含农作物病虫害防治服务。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40" w:type="pct"/>
            <w:noWrap w:val="0"/>
            <w:vAlign w:val="center"/>
          </w:tcPr>
          <w:p>
            <w:pPr>
              <w:snapToGrid w:val="0"/>
              <w:spacing w:line="440" w:lineRule="exact"/>
              <w:jc w:val="cente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3</w:t>
            </w:r>
          </w:p>
        </w:tc>
        <w:tc>
          <w:tcPr>
            <w:tcW w:w="4660" w:type="pct"/>
            <w:noWrap w:val="0"/>
            <w:vAlign w:val="center"/>
          </w:tcPr>
          <w:p>
            <w:pPr>
              <w:snapToGrid w:val="0"/>
              <w:spacing w:line="44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在开平市内具有固定的经营服务场所和符合安全要求的物资储存条件。自有的须提供房产证明，租赁的须提供租赁合同及租金转账凭证。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40" w:type="pct"/>
            <w:noWrap w:val="0"/>
            <w:vAlign w:val="center"/>
          </w:tcPr>
          <w:p>
            <w:pPr>
              <w:snapToGrid w:val="0"/>
              <w:spacing w:line="440" w:lineRule="exact"/>
              <w:jc w:val="cente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4</w:t>
            </w:r>
          </w:p>
        </w:tc>
        <w:tc>
          <w:tcPr>
            <w:tcW w:w="4660" w:type="pct"/>
            <w:noWrap w:val="0"/>
            <w:vAlign w:val="center"/>
          </w:tcPr>
          <w:p>
            <w:pPr>
              <w:snapToGrid w:val="0"/>
              <w:spacing w:line="44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截至评审日期前，在全国“植保植检信息管理系统”进行建档立卡。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40" w:type="pct"/>
            <w:noWrap w:val="0"/>
            <w:vAlign w:val="center"/>
          </w:tcPr>
          <w:p>
            <w:pPr>
              <w:snapToGrid w:val="0"/>
              <w:spacing w:line="44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5</w:t>
            </w:r>
          </w:p>
        </w:tc>
        <w:tc>
          <w:tcPr>
            <w:tcW w:w="4660" w:type="pct"/>
            <w:noWrap w:val="0"/>
            <w:vAlign w:val="center"/>
          </w:tcPr>
          <w:p>
            <w:pPr>
              <w:snapToGrid w:val="0"/>
              <w:spacing w:line="44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具有农业农村部门培训合格或人社部门颁证的技术人员，具有培训合格的田间作业人员不少于10人，提供相关人员的劳动合同（协议）、社保缴费证明、植保无人机操作证。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40" w:type="pct"/>
            <w:noWrap w:val="0"/>
            <w:vAlign w:val="center"/>
          </w:tcPr>
          <w:p>
            <w:pPr>
              <w:snapToGrid w:val="0"/>
              <w:spacing w:line="440" w:lineRule="exact"/>
              <w:jc w:val="center"/>
              <w:rPr>
                <w:rFonts w:ascii="仿宋" w:hAnsi="仿宋" w:eastAsia="仿宋" w:cs="仿宋"/>
                <w:color w:val="auto"/>
                <w:sz w:val="32"/>
                <w:szCs w:val="32"/>
                <w:highlight w:val="none"/>
              </w:rPr>
            </w:pPr>
            <w:r>
              <w:rPr>
                <w:rFonts w:ascii="仿宋" w:hAnsi="仿宋" w:eastAsia="仿宋" w:cs="仿宋"/>
                <w:color w:val="auto"/>
                <w:sz w:val="32"/>
                <w:szCs w:val="32"/>
                <w:highlight w:val="none"/>
              </w:rPr>
              <w:t>6</w:t>
            </w:r>
          </w:p>
        </w:tc>
        <w:tc>
          <w:tcPr>
            <w:tcW w:w="4660" w:type="pct"/>
            <w:noWrap w:val="0"/>
            <w:vAlign w:val="center"/>
          </w:tcPr>
          <w:p>
            <w:pPr>
              <w:snapToGrid w:val="0"/>
              <w:spacing w:line="440" w:lineRule="exact"/>
              <w:jc w:val="left"/>
              <w:rPr>
                <w:rFonts w:hint="eastAsia" w:ascii="仿宋" w:hAnsi="仿宋" w:eastAsia="仿宋" w:cs="仿宋"/>
                <w:color w:val="auto"/>
                <w:sz w:val="32"/>
                <w:szCs w:val="32"/>
                <w:highlight w:val="none"/>
              </w:rPr>
            </w:pPr>
            <w:r>
              <w:rPr>
                <w:rFonts w:hint="eastAsia" w:ascii="仿宋" w:hAnsi="仿宋" w:eastAsia="仿宋"/>
                <w:bCs/>
                <w:color w:val="auto"/>
                <w:sz w:val="32"/>
                <w:szCs w:val="32"/>
                <w:highlight w:val="none"/>
              </w:rPr>
              <w:t>服务</w:t>
            </w:r>
            <w:r>
              <w:rPr>
                <w:rFonts w:hint="eastAsia" w:ascii="仿宋" w:hAnsi="仿宋" w:eastAsia="仿宋" w:cs="仿宋_GB2312"/>
                <w:color w:val="auto"/>
                <w:sz w:val="32"/>
                <w:szCs w:val="32"/>
                <w:highlight w:val="none"/>
              </w:rPr>
              <w:t>组织</w:t>
            </w:r>
            <w:r>
              <w:rPr>
                <w:rFonts w:hint="eastAsia" w:ascii="仿宋" w:hAnsi="仿宋" w:eastAsia="仿宋" w:cs="仿宋"/>
                <w:color w:val="auto"/>
                <w:sz w:val="32"/>
                <w:szCs w:val="32"/>
                <w:highlight w:val="none"/>
              </w:rPr>
              <w:t>无不良信用记录。</w:t>
            </w:r>
          </w:p>
        </w:tc>
      </w:tr>
    </w:tbl>
    <w:p>
      <w:pPr>
        <w:pStyle w:val="3"/>
        <w:snapToGrid w:val="0"/>
        <w:spacing w:line="560" w:lineRule="exact"/>
        <w:ind w:firstLine="640" w:firstLineChars="200"/>
        <w:rPr>
          <w:rFonts w:hint="eastAsia" w:ascii="楷体" w:hAnsi="楷体" w:eastAsia="楷体" w:cs="楷体"/>
          <w:b w:val="0"/>
          <w:bCs w:val="0"/>
          <w:color w:val="auto"/>
          <w:sz w:val="32"/>
          <w:szCs w:val="32"/>
          <w:highlight w:val="none"/>
        </w:rPr>
      </w:pPr>
      <w:r>
        <w:rPr>
          <w:rFonts w:hint="eastAsia" w:ascii="楷体" w:hAnsi="楷体" w:eastAsia="楷体" w:cs="楷体"/>
          <w:b w:val="0"/>
          <w:bCs w:val="0"/>
          <w:color w:val="auto"/>
          <w:sz w:val="32"/>
          <w:szCs w:val="32"/>
          <w:highlight w:val="none"/>
        </w:rPr>
        <w:t>（二）综合性评审</w:t>
      </w:r>
    </w:p>
    <w:p>
      <w:pPr>
        <w:pStyle w:val="3"/>
        <w:snapToGrid w:val="0"/>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综合性评审评分满分为100分，具体见《综合性评审表》。</w:t>
      </w:r>
    </w:p>
    <w:p>
      <w:pPr>
        <w:pStyle w:val="3"/>
        <w:snapToGrid w:val="0"/>
        <w:spacing w:line="560" w:lineRule="exact"/>
        <w:jc w:val="center"/>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综合性评审表</w:t>
      </w:r>
    </w:p>
    <w:tbl>
      <w:tblPr>
        <w:tblStyle w:val="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0"/>
        <w:gridCol w:w="1031"/>
        <w:gridCol w:w="5156"/>
        <w:gridCol w:w="1094"/>
        <w:gridCol w:w="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000" w:type="pct"/>
            <w:gridSpan w:val="5"/>
            <w:noWrap w:val="0"/>
            <w:vAlign w:val="center"/>
          </w:tcPr>
          <w:p>
            <w:pPr>
              <w:pStyle w:val="3"/>
              <w:snapToGrid w:val="0"/>
              <w:spacing w:line="440" w:lineRule="exact"/>
              <w:jc w:val="center"/>
              <w:rPr>
                <w:rFonts w:hint="eastAsia" w:ascii="仿宋" w:hAnsi="仿宋" w:eastAsia="仿宋" w:cs="仿宋"/>
                <w:color w:val="auto"/>
                <w:sz w:val="32"/>
                <w:szCs w:val="32"/>
                <w:highlight w:val="none"/>
                <w:lang w:val="en-US" w:eastAsia="zh-CN"/>
              </w:rPr>
            </w:pPr>
            <w:r>
              <w:rPr>
                <w:rFonts w:hint="eastAsia" w:ascii="仿宋" w:hAnsi="仿宋" w:eastAsia="仿宋" w:cs="仿宋"/>
                <w:bCs/>
                <w:color w:val="auto"/>
                <w:sz w:val="32"/>
                <w:szCs w:val="32"/>
                <w:highlight w:val="none"/>
                <w:lang w:val="en-US" w:eastAsia="zh-CN"/>
              </w:rPr>
              <w:t>评分标准（100分）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17" w:type="pct"/>
            <w:noWrap w:val="0"/>
            <w:vAlign w:val="center"/>
          </w:tcPr>
          <w:p>
            <w:pPr>
              <w:pStyle w:val="3"/>
              <w:snapToGrid w:val="0"/>
              <w:spacing w:line="440" w:lineRule="exact"/>
              <w:jc w:val="center"/>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序号</w:t>
            </w:r>
          </w:p>
        </w:tc>
        <w:tc>
          <w:tcPr>
            <w:tcW w:w="605" w:type="pct"/>
            <w:noWrap w:val="0"/>
            <w:vAlign w:val="center"/>
          </w:tcPr>
          <w:p>
            <w:pPr>
              <w:pStyle w:val="3"/>
              <w:snapToGrid w:val="0"/>
              <w:spacing w:line="440" w:lineRule="exact"/>
              <w:jc w:val="center"/>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评审内容</w:t>
            </w:r>
          </w:p>
        </w:tc>
        <w:tc>
          <w:tcPr>
            <w:tcW w:w="3025" w:type="pct"/>
            <w:noWrap w:val="0"/>
            <w:vAlign w:val="center"/>
          </w:tcPr>
          <w:p>
            <w:pPr>
              <w:pStyle w:val="3"/>
              <w:snapToGrid w:val="0"/>
              <w:spacing w:line="440" w:lineRule="exact"/>
              <w:jc w:val="center"/>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评分细则</w:t>
            </w:r>
          </w:p>
        </w:tc>
        <w:tc>
          <w:tcPr>
            <w:tcW w:w="642" w:type="pct"/>
            <w:noWrap w:val="0"/>
            <w:vAlign w:val="center"/>
          </w:tcPr>
          <w:p>
            <w:pPr>
              <w:pStyle w:val="3"/>
              <w:snapToGrid w:val="0"/>
              <w:spacing w:line="440" w:lineRule="exact"/>
              <w:jc w:val="center"/>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权重（%）</w:t>
            </w:r>
          </w:p>
        </w:tc>
        <w:tc>
          <w:tcPr>
            <w:tcW w:w="411" w:type="pct"/>
            <w:noWrap w:val="0"/>
            <w:vAlign w:val="center"/>
          </w:tcPr>
          <w:p>
            <w:pPr>
              <w:pStyle w:val="3"/>
              <w:snapToGrid w:val="0"/>
              <w:spacing w:line="440" w:lineRule="exact"/>
              <w:jc w:val="center"/>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17" w:type="pct"/>
            <w:noWrap w:val="0"/>
            <w:vAlign w:val="center"/>
          </w:tcPr>
          <w:p>
            <w:pPr>
              <w:pStyle w:val="3"/>
              <w:snapToGrid w:val="0"/>
              <w:spacing w:line="440" w:lineRule="exact"/>
              <w:jc w:val="center"/>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w:t>
            </w:r>
          </w:p>
        </w:tc>
        <w:tc>
          <w:tcPr>
            <w:tcW w:w="605" w:type="pct"/>
            <w:noWrap w:val="0"/>
            <w:vAlign w:val="center"/>
          </w:tcPr>
          <w:p>
            <w:pPr>
              <w:snapToGrid w:val="0"/>
              <w:spacing w:line="44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服务组织基本条件</w:t>
            </w:r>
          </w:p>
        </w:tc>
        <w:tc>
          <w:tcPr>
            <w:tcW w:w="3025" w:type="pct"/>
            <w:noWrap w:val="0"/>
            <w:vAlign w:val="center"/>
          </w:tcPr>
          <w:p>
            <w:pPr>
              <w:snapToGrid w:val="0"/>
              <w:spacing w:line="44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经营情况良好，上年度财务审计报告或近一年财务报表，成立不满一年的提供成立以来的财务月报表，得20分。</w:t>
            </w:r>
          </w:p>
        </w:tc>
        <w:tc>
          <w:tcPr>
            <w:tcW w:w="642" w:type="pct"/>
            <w:noWrap w:val="0"/>
            <w:vAlign w:val="center"/>
          </w:tcPr>
          <w:p>
            <w:pPr>
              <w:snapToGrid w:val="0"/>
              <w:spacing w:line="440" w:lineRule="exact"/>
              <w:jc w:val="cente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20</w:t>
            </w:r>
          </w:p>
        </w:tc>
        <w:tc>
          <w:tcPr>
            <w:tcW w:w="411" w:type="pct"/>
            <w:noWrap w:val="0"/>
            <w:vAlign w:val="center"/>
          </w:tcPr>
          <w:p>
            <w:pPr>
              <w:snapToGrid w:val="0"/>
              <w:spacing w:line="440" w:lineRule="exact"/>
              <w:jc w:val="cente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17" w:type="pct"/>
            <w:noWrap w:val="0"/>
            <w:vAlign w:val="center"/>
          </w:tcPr>
          <w:p>
            <w:pPr>
              <w:pStyle w:val="3"/>
              <w:snapToGrid w:val="0"/>
              <w:spacing w:line="440" w:lineRule="exact"/>
              <w:jc w:val="center"/>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w:t>
            </w:r>
          </w:p>
        </w:tc>
        <w:tc>
          <w:tcPr>
            <w:tcW w:w="605" w:type="pct"/>
            <w:noWrap w:val="0"/>
            <w:vAlign w:val="center"/>
          </w:tcPr>
          <w:p>
            <w:pPr>
              <w:snapToGrid w:val="0"/>
              <w:spacing w:line="44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申报书情况</w:t>
            </w:r>
          </w:p>
        </w:tc>
        <w:tc>
          <w:tcPr>
            <w:tcW w:w="3025" w:type="pct"/>
            <w:noWrap w:val="0"/>
            <w:vAlign w:val="center"/>
          </w:tcPr>
          <w:p>
            <w:pPr>
              <w:snapToGrid w:val="0"/>
              <w:spacing w:line="44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1.申报书资料齐全，明确实施水稻病虫害统防统治投入费用、关键环节、防控方案、</w:t>
            </w:r>
            <w:r>
              <w:rPr>
                <w:rFonts w:hint="eastAsia" w:ascii="仿宋" w:hAnsi="仿宋" w:eastAsia="仿宋"/>
                <w:color w:val="auto"/>
                <w:sz w:val="32"/>
                <w:szCs w:val="32"/>
                <w:highlight w:val="none"/>
              </w:rPr>
              <w:t>田间</w:t>
            </w:r>
            <w:r>
              <w:rPr>
                <w:rFonts w:ascii="仿宋" w:hAnsi="仿宋" w:eastAsia="仿宋"/>
                <w:color w:val="auto"/>
                <w:sz w:val="32"/>
                <w:szCs w:val="32"/>
                <w:highlight w:val="none"/>
              </w:rPr>
              <w:t>巡查、防效调查、</w:t>
            </w:r>
            <w:r>
              <w:rPr>
                <w:rFonts w:hint="eastAsia" w:ascii="仿宋" w:hAnsi="仿宋" w:eastAsia="仿宋" w:cs="仿宋"/>
                <w:color w:val="auto"/>
                <w:sz w:val="32"/>
                <w:szCs w:val="32"/>
                <w:highlight w:val="none"/>
              </w:rPr>
              <w:t>服务面积、实施区域。横向对比</w:t>
            </w:r>
            <w:r>
              <w:rPr>
                <w:rFonts w:ascii="仿宋" w:hAnsi="仿宋" w:eastAsia="仿宋" w:cs="仿宋"/>
                <w:color w:val="auto"/>
                <w:sz w:val="32"/>
                <w:szCs w:val="32"/>
                <w:highlight w:val="none"/>
              </w:rPr>
              <w:t>。</w:t>
            </w:r>
            <w:r>
              <w:rPr>
                <w:rFonts w:hint="eastAsia" w:ascii="仿宋" w:hAnsi="仿宋" w:eastAsia="仿宋" w:cs="仿宋"/>
                <w:color w:val="auto"/>
                <w:sz w:val="32"/>
                <w:szCs w:val="32"/>
                <w:highlight w:val="none"/>
              </w:rPr>
              <w:t>优15分，良10分，中7分，差1分。</w:t>
            </w:r>
          </w:p>
          <w:p>
            <w:pPr>
              <w:snapToGrid w:val="0"/>
              <w:spacing w:line="44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2.明确实施农药包装废弃物集中回收建设内容、宣传牌、台账。横向对比</w:t>
            </w:r>
            <w:r>
              <w:rPr>
                <w:rFonts w:ascii="仿宋" w:hAnsi="仿宋" w:eastAsia="仿宋" w:cs="仿宋"/>
                <w:color w:val="auto"/>
                <w:sz w:val="32"/>
                <w:szCs w:val="32"/>
                <w:highlight w:val="none"/>
              </w:rPr>
              <w:t>。</w:t>
            </w:r>
            <w:r>
              <w:rPr>
                <w:rFonts w:hint="eastAsia" w:ascii="仿宋" w:hAnsi="仿宋" w:eastAsia="仿宋" w:cs="仿宋"/>
                <w:color w:val="auto"/>
                <w:sz w:val="32"/>
                <w:szCs w:val="32"/>
                <w:highlight w:val="none"/>
              </w:rPr>
              <w:t>优5分，良3分，中2分，差1分。</w:t>
            </w:r>
          </w:p>
        </w:tc>
        <w:tc>
          <w:tcPr>
            <w:tcW w:w="642" w:type="pct"/>
            <w:noWrap w:val="0"/>
            <w:vAlign w:val="center"/>
          </w:tcPr>
          <w:p>
            <w:pPr>
              <w:snapToGrid w:val="0"/>
              <w:spacing w:line="44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20</w:t>
            </w:r>
          </w:p>
        </w:tc>
        <w:tc>
          <w:tcPr>
            <w:tcW w:w="411" w:type="pct"/>
            <w:noWrap w:val="0"/>
            <w:vAlign w:val="center"/>
          </w:tcPr>
          <w:p>
            <w:pPr>
              <w:snapToGrid w:val="0"/>
              <w:spacing w:line="44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17" w:type="pct"/>
            <w:noWrap w:val="0"/>
            <w:vAlign w:val="center"/>
          </w:tcPr>
          <w:p>
            <w:pPr>
              <w:snapToGrid w:val="0"/>
              <w:spacing w:line="44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3</w:t>
            </w:r>
          </w:p>
        </w:tc>
        <w:tc>
          <w:tcPr>
            <w:tcW w:w="605" w:type="pct"/>
            <w:noWrap w:val="0"/>
            <w:vAlign w:val="center"/>
          </w:tcPr>
          <w:p>
            <w:pPr>
              <w:snapToGrid w:val="0"/>
              <w:spacing w:line="44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相关业绩证明</w:t>
            </w:r>
          </w:p>
        </w:tc>
        <w:tc>
          <w:tcPr>
            <w:tcW w:w="3025" w:type="pct"/>
            <w:noWrap w:val="0"/>
            <w:vAlign w:val="center"/>
          </w:tcPr>
          <w:p>
            <w:pPr>
              <w:snapToGrid w:val="0"/>
              <w:spacing w:line="44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有病虫害防治或统防统治社会化服务经验，提供近三年项目服务合同，每一项得2.5分，满分10分。</w:t>
            </w:r>
          </w:p>
        </w:tc>
        <w:tc>
          <w:tcPr>
            <w:tcW w:w="642" w:type="pct"/>
            <w:noWrap w:val="0"/>
            <w:vAlign w:val="center"/>
          </w:tcPr>
          <w:p>
            <w:pPr>
              <w:pStyle w:val="2"/>
              <w:keepNext w:val="0"/>
              <w:keepLines w:val="0"/>
              <w:snapToGrid w:val="0"/>
              <w:spacing w:before="0" w:after="0" w:line="440" w:lineRule="exact"/>
              <w:jc w:val="center"/>
              <w:rPr>
                <w:rFonts w:ascii="仿宋" w:hAnsi="仿宋" w:eastAsia="仿宋" w:cs="仿宋"/>
                <w:color w:val="auto"/>
                <w:highlight w:val="none"/>
                <w:lang w:val="en-US" w:eastAsia="zh-CN"/>
              </w:rPr>
            </w:pPr>
            <w:r>
              <w:rPr>
                <w:rFonts w:hint="eastAsia" w:ascii="仿宋" w:hAnsi="仿宋" w:eastAsia="仿宋" w:cs="仿宋"/>
                <w:b w:val="0"/>
                <w:bCs w:val="0"/>
                <w:color w:val="auto"/>
                <w:highlight w:val="none"/>
                <w:lang w:val="en-US" w:eastAsia="zh-CN"/>
              </w:rPr>
              <w:t>10</w:t>
            </w:r>
          </w:p>
        </w:tc>
        <w:tc>
          <w:tcPr>
            <w:tcW w:w="411" w:type="pct"/>
            <w:noWrap w:val="0"/>
            <w:vAlign w:val="center"/>
          </w:tcPr>
          <w:p>
            <w:pPr>
              <w:snapToGrid w:val="0"/>
              <w:spacing w:line="440" w:lineRule="exact"/>
              <w:jc w:val="cente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17" w:type="pct"/>
            <w:noWrap w:val="0"/>
            <w:vAlign w:val="center"/>
          </w:tcPr>
          <w:p>
            <w:pPr>
              <w:snapToGrid w:val="0"/>
              <w:spacing w:line="440" w:lineRule="exact"/>
              <w:jc w:val="center"/>
              <w:rPr>
                <w:rFonts w:hint="eastAsia" w:ascii="仿宋" w:hAnsi="仿宋" w:eastAsia="仿宋" w:cs="仿宋"/>
                <w:color w:val="auto"/>
                <w:sz w:val="32"/>
                <w:szCs w:val="32"/>
                <w:highlight w:val="none"/>
              </w:rPr>
            </w:pPr>
            <w:r>
              <w:rPr>
                <w:rFonts w:ascii="仿宋" w:hAnsi="仿宋" w:eastAsia="仿宋" w:cs="仿宋"/>
                <w:color w:val="auto"/>
                <w:sz w:val="32"/>
                <w:szCs w:val="32"/>
                <w:highlight w:val="none"/>
              </w:rPr>
              <w:t>4</w:t>
            </w:r>
          </w:p>
        </w:tc>
        <w:tc>
          <w:tcPr>
            <w:tcW w:w="605" w:type="pct"/>
            <w:noWrap w:val="0"/>
            <w:vAlign w:val="center"/>
          </w:tcPr>
          <w:p>
            <w:pPr>
              <w:snapToGrid w:val="0"/>
              <w:spacing w:line="44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服务组织服务能力</w:t>
            </w:r>
          </w:p>
        </w:tc>
        <w:tc>
          <w:tcPr>
            <w:tcW w:w="3025" w:type="pct"/>
            <w:noWrap w:val="0"/>
            <w:vAlign w:val="center"/>
          </w:tcPr>
          <w:p>
            <w:pPr>
              <w:snapToGrid w:val="0"/>
              <w:spacing w:line="440" w:lineRule="exact"/>
              <w:ind w:left="34" w:leftChars="16"/>
              <w:jc w:val="left"/>
              <w:rPr>
                <w:rFonts w:ascii="仿宋" w:hAnsi="仿宋" w:eastAsia="仿宋" w:cs="仿宋"/>
                <w:color w:val="auto"/>
                <w:sz w:val="32"/>
                <w:szCs w:val="32"/>
                <w:highlight w:val="none"/>
                <w:lang w:val="zh-CN"/>
              </w:rPr>
            </w:pPr>
            <w:r>
              <w:rPr>
                <w:rFonts w:hint="eastAsia" w:ascii="仿宋" w:hAnsi="仿宋" w:eastAsia="仿宋" w:cs="仿宋"/>
                <w:color w:val="auto"/>
                <w:sz w:val="32"/>
                <w:szCs w:val="32"/>
                <w:highlight w:val="none"/>
                <w:lang w:val="zh-CN"/>
              </w:rPr>
              <w:t>1.</w:t>
            </w:r>
            <w:r>
              <w:rPr>
                <w:rFonts w:hint="eastAsia" w:ascii="仿宋" w:hAnsi="仿宋" w:eastAsia="仿宋" w:cs="仿宋"/>
                <w:color w:val="auto"/>
                <w:sz w:val="32"/>
                <w:szCs w:val="32"/>
                <w:highlight w:val="none"/>
              </w:rPr>
              <w:t>具有农业农村部门培训合格或人社部门颁证的技术人员，如乡土专家、种养能手、农业技术职称等涉农技术证书，</w:t>
            </w:r>
            <w:r>
              <w:rPr>
                <w:rFonts w:hint="eastAsia" w:ascii="仿宋" w:hAnsi="仿宋" w:eastAsia="仿宋" w:cs="仿宋"/>
                <w:color w:val="auto"/>
                <w:sz w:val="32"/>
                <w:szCs w:val="32"/>
                <w:highlight w:val="none"/>
                <w:lang w:val="zh-CN"/>
              </w:rPr>
              <w:t>须提供劳务合同</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zh-CN"/>
              </w:rPr>
              <w:t>协议</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zh-CN"/>
              </w:rPr>
              <w:t>和社保缴费证明，每提供1人得</w:t>
            </w:r>
            <w:r>
              <w:rPr>
                <w:rFonts w:hint="eastAsia" w:ascii="仿宋" w:hAnsi="仿宋" w:eastAsia="仿宋" w:cs="仿宋"/>
                <w:color w:val="auto"/>
                <w:sz w:val="32"/>
                <w:szCs w:val="32"/>
                <w:highlight w:val="none"/>
              </w:rPr>
              <w:t>2.5</w:t>
            </w:r>
            <w:r>
              <w:rPr>
                <w:rFonts w:hint="eastAsia" w:ascii="仿宋" w:hAnsi="仿宋" w:eastAsia="仿宋" w:cs="仿宋"/>
                <w:color w:val="auto"/>
                <w:sz w:val="32"/>
                <w:szCs w:val="32"/>
                <w:highlight w:val="none"/>
                <w:lang w:val="zh-CN"/>
              </w:rPr>
              <w:t>分（1人持多证的按2.5分计），满分</w:t>
            </w:r>
            <w:r>
              <w:rPr>
                <w:rFonts w:ascii="仿宋" w:hAnsi="仿宋" w:eastAsia="仿宋" w:cs="仿宋"/>
                <w:color w:val="auto"/>
                <w:sz w:val="32"/>
                <w:szCs w:val="32"/>
                <w:highlight w:val="none"/>
                <w:lang w:val="zh-CN"/>
              </w:rPr>
              <w:t>1</w:t>
            </w:r>
            <w:r>
              <w:rPr>
                <w:rFonts w:hint="eastAsia" w:ascii="仿宋" w:hAnsi="仿宋" w:eastAsia="仿宋" w:cs="仿宋"/>
                <w:color w:val="auto"/>
                <w:sz w:val="32"/>
                <w:szCs w:val="32"/>
                <w:highlight w:val="none"/>
                <w:lang w:val="zh-CN"/>
              </w:rPr>
              <w:t>0分；</w:t>
            </w:r>
          </w:p>
          <w:p>
            <w:pPr>
              <w:snapToGrid w:val="0"/>
              <w:spacing w:line="440" w:lineRule="exact"/>
              <w:ind w:left="34" w:leftChars="16"/>
              <w:jc w:val="left"/>
              <w:rPr>
                <w:rFonts w:hint="eastAsia" w:ascii="仿宋" w:hAnsi="仿宋" w:eastAsia="仿宋" w:cs="仿宋"/>
                <w:color w:val="auto"/>
                <w:sz w:val="32"/>
                <w:szCs w:val="32"/>
                <w:highlight w:val="none"/>
                <w:lang w:val="zh-CN"/>
              </w:rPr>
            </w:pPr>
            <w:r>
              <w:rPr>
                <w:rFonts w:ascii="仿宋" w:hAnsi="仿宋" w:eastAsia="仿宋" w:cs="仿宋"/>
                <w:color w:val="auto"/>
                <w:sz w:val="32"/>
                <w:szCs w:val="32"/>
                <w:highlight w:val="none"/>
                <w:lang w:val="zh-CN"/>
              </w:rPr>
              <w:t>2</w:t>
            </w:r>
            <w:r>
              <w:rPr>
                <w:rFonts w:hint="eastAsia" w:ascii="仿宋" w:hAnsi="仿宋" w:eastAsia="仿宋" w:cs="仿宋"/>
                <w:color w:val="auto"/>
                <w:sz w:val="32"/>
                <w:szCs w:val="32"/>
                <w:highlight w:val="none"/>
                <w:lang w:val="zh-CN"/>
              </w:rPr>
              <w:t>.</w:t>
            </w:r>
            <w:r>
              <w:rPr>
                <w:rFonts w:hint="eastAsia" w:ascii="仿宋" w:hAnsi="仿宋" w:eastAsia="仿宋" w:cs="仿宋"/>
                <w:color w:val="auto"/>
                <w:sz w:val="32"/>
                <w:szCs w:val="32"/>
                <w:highlight w:val="none"/>
              </w:rPr>
              <w:t>具有培训合格的田间作业人员，并持有植保无人机操作证，</w:t>
            </w:r>
            <w:r>
              <w:rPr>
                <w:rFonts w:hint="eastAsia" w:ascii="仿宋" w:hAnsi="仿宋" w:eastAsia="仿宋" w:cs="仿宋"/>
                <w:color w:val="auto"/>
                <w:sz w:val="32"/>
                <w:szCs w:val="32"/>
                <w:highlight w:val="none"/>
                <w:lang w:val="zh-CN"/>
              </w:rPr>
              <w:t>须提供劳务合同</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zh-CN"/>
              </w:rPr>
              <w:t>协议</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zh-CN"/>
              </w:rPr>
              <w:t>和社保缴费证明，每提供1人得</w:t>
            </w:r>
            <w:r>
              <w:rPr>
                <w:rFonts w:ascii="仿宋" w:hAnsi="仿宋" w:eastAsia="仿宋" w:cs="仿宋"/>
                <w:color w:val="auto"/>
                <w:sz w:val="32"/>
                <w:szCs w:val="32"/>
                <w:highlight w:val="none"/>
              </w:rPr>
              <w:t>1</w:t>
            </w:r>
            <w:r>
              <w:rPr>
                <w:rFonts w:hint="eastAsia" w:ascii="仿宋" w:hAnsi="仿宋" w:eastAsia="仿宋" w:cs="仿宋"/>
                <w:color w:val="auto"/>
                <w:sz w:val="32"/>
                <w:szCs w:val="32"/>
                <w:highlight w:val="none"/>
                <w:lang w:val="zh-CN"/>
              </w:rPr>
              <w:t>分，满分</w:t>
            </w:r>
            <w:r>
              <w:rPr>
                <w:rFonts w:ascii="仿宋" w:hAnsi="仿宋" w:eastAsia="仿宋" w:cs="仿宋"/>
                <w:color w:val="auto"/>
                <w:sz w:val="32"/>
                <w:szCs w:val="32"/>
                <w:highlight w:val="none"/>
                <w:lang w:val="zh-CN"/>
              </w:rPr>
              <w:t>1</w:t>
            </w:r>
            <w:r>
              <w:rPr>
                <w:rFonts w:hint="eastAsia" w:ascii="仿宋" w:hAnsi="仿宋" w:eastAsia="仿宋" w:cs="仿宋"/>
                <w:color w:val="auto"/>
                <w:sz w:val="32"/>
                <w:szCs w:val="32"/>
                <w:highlight w:val="none"/>
                <w:lang w:val="zh-CN"/>
              </w:rPr>
              <w:t>0分；</w:t>
            </w:r>
          </w:p>
          <w:p>
            <w:pPr>
              <w:snapToGrid w:val="0"/>
              <w:spacing w:line="440" w:lineRule="exact"/>
              <w:ind w:left="34" w:leftChars="16"/>
              <w:jc w:val="left"/>
              <w:rPr>
                <w:rFonts w:hint="eastAsia" w:ascii="仿宋" w:hAnsi="仿宋" w:eastAsia="仿宋" w:cs="仿宋"/>
                <w:color w:val="auto"/>
                <w:sz w:val="32"/>
                <w:szCs w:val="32"/>
                <w:highlight w:val="none"/>
                <w:lang w:val="zh-CN"/>
              </w:rPr>
            </w:pPr>
            <w:r>
              <w:rPr>
                <w:rFonts w:ascii="仿宋" w:hAnsi="仿宋" w:eastAsia="仿宋" w:cs="仿宋"/>
                <w:color w:val="auto"/>
                <w:sz w:val="32"/>
                <w:szCs w:val="32"/>
                <w:highlight w:val="none"/>
                <w:lang w:val="zh-CN"/>
              </w:rPr>
              <w:t>3</w:t>
            </w:r>
            <w:r>
              <w:rPr>
                <w:rFonts w:hint="eastAsia" w:ascii="仿宋" w:hAnsi="仿宋" w:eastAsia="仿宋" w:cs="仿宋"/>
                <w:color w:val="auto"/>
                <w:sz w:val="32"/>
                <w:szCs w:val="32"/>
                <w:highlight w:val="none"/>
                <w:lang w:val="zh-CN"/>
              </w:rPr>
              <w:t>.拥有统防统治作业机械和设备，提供采购合同发票</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zh-CN"/>
              </w:rPr>
              <w:t>租赁合同，每提供1套得</w:t>
            </w:r>
            <w:r>
              <w:rPr>
                <w:rFonts w:ascii="仿宋" w:hAnsi="仿宋" w:eastAsia="仿宋" w:cs="仿宋"/>
                <w:color w:val="auto"/>
                <w:sz w:val="32"/>
                <w:szCs w:val="32"/>
                <w:highlight w:val="none"/>
              </w:rPr>
              <w:t>2</w:t>
            </w:r>
            <w:r>
              <w:rPr>
                <w:rFonts w:hint="eastAsia" w:ascii="仿宋" w:hAnsi="仿宋" w:eastAsia="仿宋" w:cs="仿宋"/>
                <w:color w:val="auto"/>
                <w:sz w:val="32"/>
                <w:szCs w:val="32"/>
                <w:highlight w:val="none"/>
                <w:lang w:val="zh-CN"/>
              </w:rPr>
              <w:t>分，满分</w:t>
            </w:r>
            <w:r>
              <w:rPr>
                <w:rFonts w:ascii="仿宋" w:hAnsi="仿宋" w:eastAsia="仿宋" w:cs="仿宋"/>
                <w:color w:val="auto"/>
                <w:sz w:val="32"/>
                <w:szCs w:val="32"/>
                <w:highlight w:val="none"/>
              </w:rPr>
              <w:t>20</w:t>
            </w:r>
            <w:r>
              <w:rPr>
                <w:rFonts w:hint="eastAsia" w:ascii="仿宋" w:hAnsi="仿宋" w:eastAsia="仿宋" w:cs="仿宋"/>
                <w:color w:val="auto"/>
                <w:sz w:val="32"/>
                <w:szCs w:val="32"/>
                <w:highlight w:val="none"/>
                <w:lang w:val="zh-CN"/>
              </w:rPr>
              <w:t>分。</w:t>
            </w:r>
          </w:p>
        </w:tc>
        <w:tc>
          <w:tcPr>
            <w:tcW w:w="642" w:type="pct"/>
            <w:noWrap w:val="0"/>
            <w:vAlign w:val="center"/>
          </w:tcPr>
          <w:p>
            <w:pPr>
              <w:snapToGrid w:val="0"/>
              <w:spacing w:line="440" w:lineRule="exact"/>
              <w:jc w:val="center"/>
              <w:rPr>
                <w:rFonts w:hint="eastAsia" w:ascii="仿宋" w:hAnsi="仿宋" w:eastAsia="仿宋" w:cs="仿宋"/>
                <w:color w:val="auto"/>
                <w:sz w:val="32"/>
                <w:szCs w:val="32"/>
                <w:highlight w:val="none"/>
              </w:rPr>
            </w:pPr>
            <w:r>
              <w:rPr>
                <w:rFonts w:ascii="仿宋" w:hAnsi="仿宋" w:eastAsia="仿宋" w:cs="仿宋"/>
                <w:color w:val="auto"/>
                <w:sz w:val="32"/>
                <w:szCs w:val="32"/>
                <w:highlight w:val="none"/>
              </w:rPr>
              <w:t>40</w:t>
            </w:r>
          </w:p>
        </w:tc>
        <w:tc>
          <w:tcPr>
            <w:tcW w:w="411" w:type="pct"/>
            <w:noWrap w:val="0"/>
            <w:vAlign w:val="center"/>
          </w:tcPr>
          <w:p>
            <w:pPr>
              <w:snapToGrid w:val="0"/>
              <w:spacing w:line="440" w:lineRule="exact"/>
              <w:jc w:val="center"/>
              <w:rPr>
                <w:rFonts w:hint="eastAsia" w:ascii="仿宋" w:hAnsi="仿宋" w:eastAsia="仿宋" w:cs="仿宋"/>
                <w:color w:val="auto"/>
                <w:sz w:val="32"/>
                <w:szCs w:val="32"/>
                <w:highlight w:val="none"/>
              </w:rPr>
            </w:pPr>
            <w:r>
              <w:rPr>
                <w:rFonts w:ascii="仿宋" w:hAnsi="仿宋" w:eastAsia="仿宋" w:cs="仿宋"/>
                <w:color w:val="auto"/>
                <w:sz w:val="32"/>
                <w:szCs w:val="32"/>
                <w:highlight w:val="none"/>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17" w:type="pct"/>
            <w:noWrap w:val="0"/>
            <w:vAlign w:val="center"/>
          </w:tcPr>
          <w:p>
            <w:pPr>
              <w:snapToGrid w:val="0"/>
              <w:spacing w:line="440" w:lineRule="exact"/>
              <w:jc w:val="center"/>
              <w:rPr>
                <w:rFonts w:hint="eastAsia" w:ascii="仿宋" w:hAnsi="仿宋" w:eastAsia="仿宋" w:cs="仿宋"/>
                <w:color w:val="auto"/>
                <w:sz w:val="32"/>
                <w:szCs w:val="32"/>
                <w:highlight w:val="none"/>
              </w:rPr>
            </w:pPr>
            <w:r>
              <w:rPr>
                <w:rFonts w:ascii="仿宋" w:hAnsi="仿宋" w:eastAsia="仿宋" w:cs="仿宋"/>
                <w:color w:val="auto"/>
                <w:sz w:val="32"/>
                <w:szCs w:val="32"/>
                <w:highlight w:val="none"/>
              </w:rPr>
              <w:t>5</w:t>
            </w:r>
          </w:p>
        </w:tc>
        <w:tc>
          <w:tcPr>
            <w:tcW w:w="605" w:type="pct"/>
            <w:noWrap w:val="0"/>
            <w:vAlign w:val="center"/>
          </w:tcPr>
          <w:p>
            <w:pPr>
              <w:snapToGrid w:val="0"/>
              <w:spacing w:line="44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管理制度情况</w:t>
            </w:r>
          </w:p>
        </w:tc>
        <w:tc>
          <w:tcPr>
            <w:tcW w:w="3025" w:type="pct"/>
            <w:noWrap w:val="0"/>
            <w:vAlign w:val="center"/>
          </w:tcPr>
          <w:p>
            <w:pPr>
              <w:snapToGrid w:val="0"/>
              <w:spacing w:line="44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具有健全的人员管理、服务合同管理、田间作业和档案记录等管理制度，提供相关制度、管理记录证明。按资料质量横行对比，优10-8分，良7-5分，中4-2分，差0分。</w:t>
            </w:r>
          </w:p>
        </w:tc>
        <w:tc>
          <w:tcPr>
            <w:tcW w:w="642" w:type="pct"/>
            <w:noWrap w:val="0"/>
            <w:vAlign w:val="center"/>
          </w:tcPr>
          <w:p>
            <w:pPr>
              <w:snapToGrid w:val="0"/>
              <w:spacing w:line="44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10</w:t>
            </w:r>
          </w:p>
        </w:tc>
        <w:tc>
          <w:tcPr>
            <w:tcW w:w="411" w:type="pct"/>
            <w:noWrap w:val="0"/>
            <w:vAlign w:val="center"/>
          </w:tcPr>
          <w:p>
            <w:pPr>
              <w:snapToGrid w:val="0"/>
              <w:spacing w:line="44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947" w:type="pct"/>
            <w:gridSpan w:val="3"/>
            <w:noWrap w:val="0"/>
            <w:vAlign w:val="center"/>
          </w:tcPr>
          <w:p>
            <w:pPr>
              <w:snapToGrid w:val="0"/>
              <w:spacing w:line="44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合计</w:t>
            </w:r>
          </w:p>
        </w:tc>
        <w:tc>
          <w:tcPr>
            <w:tcW w:w="642" w:type="pct"/>
            <w:noWrap w:val="0"/>
            <w:vAlign w:val="center"/>
          </w:tcPr>
          <w:p>
            <w:pPr>
              <w:snapToGrid w:val="0"/>
              <w:spacing w:line="44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100</w:t>
            </w:r>
          </w:p>
        </w:tc>
        <w:tc>
          <w:tcPr>
            <w:tcW w:w="411" w:type="pct"/>
            <w:noWrap w:val="0"/>
            <w:vAlign w:val="center"/>
          </w:tcPr>
          <w:p>
            <w:pPr>
              <w:snapToGrid w:val="0"/>
              <w:spacing w:line="44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100</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华光大标宋_CNKI">
    <w:altName w:val="宋体"/>
    <w:panose1 w:val="02000500000000000000"/>
    <w:charset w:val="7A"/>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1MWY1NmUzNmI1ZjkxNWYyMDYwNGExZDNhYTFlNzEifQ=="/>
  </w:docVars>
  <w:rsids>
    <w:rsidRoot w:val="615216C8"/>
    <w:rsid w:val="615216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Plain Text"/>
    <w:basedOn w:val="1"/>
    <w:qFormat/>
    <w:uiPriority w:val="0"/>
    <w:rPr>
      <w:rFonts w:ascii="宋体" w:hAnsi="Courier New"/>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2024-06-28T08:50:00Z</dcterms:created>
  <dc:creator>(눈_눈)</dc:creator>
  <cp:lastModifiedBy>(눈_눈)</cp:lastModifiedBy>
  <dcterms:modified xsi:type="dcterms:W3CDTF">2024-06-28T08:50:29Z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47EC6F9DAA99428FBE26EC8D3D34B5FD_11</vt:lpwstr>
  </property>
</Properties>
</file>