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color w:val="auto"/>
          <w:sz w:val="32"/>
          <w:szCs w:val="32"/>
          <w:highlight w:val="none"/>
        </w:rPr>
      </w:pPr>
      <w:bookmarkStart w:id="1" w:name="_GoBack"/>
      <w:r>
        <w:rPr>
          <w:rFonts w:hint="eastAsia" w:ascii="仿宋" w:hAnsi="仿宋" w:eastAsia="仿宋" w:cs="仿宋"/>
          <w:color w:val="auto"/>
          <w:sz w:val="32"/>
          <w:szCs w:val="32"/>
          <w:highlight w:val="none"/>
        </w:rPr>
        <w:t>附件2</w:t>
      </w:r>
      <w:r>
        <w:rPr>
          <w:rFonts w:ascii="仿宋" w:hAnsi="仿宋" w:eastAsia="仿宋" w:cs="仿宋"/>
          <w:color w:val="auto"/>
          <w:sz w:val="32"/>
          <w:szCs w:val="32"/>
          <w:highlight w:val="none"/>
        </w:rPr>
        <w:t>:</w:t>
      </w:r>
    </w:p>
    <w:p>
      <w:pPr>
        <w:jc w:val="center"/>
        <w:rPr>
          <w:rFonts w:hint="eastAsia" w:ascii="黑体" w:hAnsi="黑体" w:eastAsia="黑体" w:cs="黑体"/>
          <w:color w:val="auto"/>
          <w:sz w:val="36"/>
          <w:szCs w:val="36"/>
          <w:highlight w:val="none"/>
        </w:rPr>
      </w:pPr>
      <w:r>
        <w:rPr>
          <w:rFonts w:hint="eastAsia" w:ascii="黑体" w:hAnsi="黑体" w:eastAsia="黑体" w:cs="黑体"/>
          <w:color w:val="auto"/>
          <w:sz w:val="36"/>
          <w:szCs w:val="36"/>
          <w:highlight w:val="none"/>
        </w:rPr>
        <w:t>开平市2024年中央农业防灾减灾和水利救灾资金（防灾救灾第三批）—红火蚁防控项目</w:t>
      </w:r>
    </w:p>
    <w:p>
      <w:pPr>
        <w:jc w:val="center"/>
        <w:rPr>
          <w:rFonts w:hint="eastAsia" w:ascii="黑体" w:hAnsi="黑体" w:eastAsia="黑体" w:cs="黑体"/>
          <w:color w:val="auto"/>
          <w:sz w:val="36"/>
          <w:szCs w:val="36"/>
          <w:highlight w:val="none"/>
        </w:rPr>
      </w:pPr>
      <w:r>
        <w:rPr>
          <w:rFonts w:hint="eastAsia" w:ascii="黑体" w:hAnsi="黑体" w:eastAsia="黑体" w:cs="黑体"/>
          <w:color w:val="auto"/>
          <w:sz w:val="36"/>
          <w:szCs w:val="36"/>
          <w:highlight w:val="none"/>
        </w:rPr>
        <w:t>红火蚁饵剂采购评审办法</w:t>
      </w:r>
    </w:p>
    <w:bookmarkEnd w:id="1"/>
    <w:p>
      <w:pPr>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一、评审小组</w:t>
      </w:r>
    </w:p>
    <w:p>
      <w:pPr>
        <w:ind w:firstLine="6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成立项目采购评审小组，对投标人的标书进行开标、审查，评出中标单位。</w:t>
      </w:r>
    </w:p>
    <w:p>
      <w:pPr>
        <w:ind w:firstLine="600"/>
        <w:rPr>
          <w:rFonts w:hint="eastAsia" w:ascii="仿宋" w:hAnsi="仿宋" w:eastAsia="仿宋" w:cs="仿宋"/>
          <w:color w:val="auto"/>
          <w:sz w:val="32"/>
          <w:szCs w:val="32"/>
          <w:highlight w:val="none"/>
        </w:rPr>
      </w:pPr>
      <w:r>
        <w:rPr>
          <w:rFonts w:hint="eastAsia" w:ascii="黑体" w:hAnsi="黑体" w:eastAsia="黑体" w:cs="黑体"/>
          <w:color w:val="auto"/>
          <w:sz w:val="32"/>
          <w:szCs w:val="32"/>
          <w:highlight w:val="none"/>
        </w:rPr>
        <w:t>二、评审方式</w:t>
      </w:r>
    </w:p>
    <w:p>
      <w:pPr>
        <w:tabs>
          <w:tab w:val="left" w:pos="1260"/>
          <w:tab w:val="left" w:pos="1365"/>
        </w:tabs>
        <w:ind w:left="10" w:leftChars="5"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现场评审，对投标人的标书进行现场开标、评审，确定中标单位。按评审办法，推荐中标候选人。若只有一家投标人参与投标，只需对其进行资格性评审，通过资格性审查后，推荐为本项目中标人。</w:t>
      </w:r>
    </w:p>
    <w:p>
      <w:pPr>
        <w:rPr>
          <w:rFonts w:hint="eastAsia" w:ascii="仿宋" w:hAnsi="仿宋" w:eastAsia="仿宋" w:cs="仿宋"/>
          <w:color w:val="auto"/>
          <w:sz w:val="32"/>
          <w:szCs w:val="32"/>
          <w:highlight w:val="none"/>
        </w:rPr>
      </w:pPr>
      <w:r>
        <w:rPr>
          <w:rFonts w:hint="eastAsia" w:ascii="黑体" w:hAnsi="黑体" w:eastAsia="黑体" w:cs="黑体"/>
          <w:color w:val="auto"/>
          <w:sz w:val="32"/>
          <w:szCs w:val="32"/>
          <w:highlight w:val="none"/>
        </w:rPr>
        <w:t>　　三、评审项目预算金额</w:t>
      </w:r>
    </w:p>
    <w:p>
      <w:p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本项目总预算23万元，采购0.1%茚虫威红火蚁饵剂不少于4.8吨、制作发放宣传横幅260条、宣传海报2550份，并按要求协助完成红火蚁监测报告。</w:t>
      </w:r>
    </w:p>
    <w:p>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投标报价应包含货款、运输费、税款等费用。</w:t>
      </w:r>
    </w:p>
    <w:p>
      <w:pPr>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四、评审程序及标准</w:t>
      </w:r>
    </w:p>
    <w:p>
      <w:pPr>
        <w:ind w:firstLine="6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（一）资格性审查</w:t>
      </w:r>
    </w:p>
    <w:p>
      <w:pPr>
        <w:ind w:firstLine="6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对投标人资格性进行审查，具体见《资格性审查表》，通过后进行综合性评审。</w:t>
      </w: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资格性审查表</w:t>
      </w:r>
    </w:p>
    <w:tbl>
      <w:tblPr>
        <w:tblStyle w:val="3"/>
        <w:tblW w:w="8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5685"/>
        <w:gridCol w:w="741"/>
        <w:gridCol w:w="796"/>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544" w:type="dxa"/>
            <w:vMerge w:val="restart"/>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序号</w:t>
            </w:r>
          </w:p>
        </w:tc>
        <w:tc>
          <w:tcPr>
            <w:tcW w:w="5685" w:type="dxa"/>
            <w:vMerge w:val="restart"/>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审查内容</w:t>
            </w:r>
          </w:p>
        </w:tc>
        <w:tc>
          <w:tcPr>
            <w:tcW w:w="2370" w:type="dxa"/>
            <w:gridSpan w:val="3"/>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44" w:type="dxa"/>
            <w:vMerge w:val="continue"/>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p>
        </w:tc>
        <w:tc>
          <w:tcPr>
            <w:tcW w:w="5685" w:type="dxa"/>
            <w:vMerge w:val="continue"/>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p>
        </w:tc>
        <w:tc>
          <w:tcPr>
            <w:tcW w:w="741" w:type="dxa"/>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p>
        </w:tc>
        <w:tc>
          <w:tcPr>
            <w:tcW w:w="796" w:type="dxa"/>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p>
        </w:tc>
        <w:tc>
          <w:tcPr>
            <w:tcW w:w="833" w:type="dxa"/>
            <w:noWrap w:val="0"/>
            <w:vAlign w:val="center"/>
          </w:tcPr>
          <w:p>
            <w:pPr>
              <w:pStyle w:val="2"/>
              <w:spacing w:line="420" w:lineRule="exact"/>
              <w:jc w:val="center"/>
              <w:rPr>
                <w:rFonts w:hint="eastAsia" w:ascii="仿宋" w:hAnsi="仿宋" w:eastAsia="仿宋" w:cs="仿宋"/>
                <w:color w:val="auto"/>
                <w:sz w:val="32"/>
                <w:szCs w:val="3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544" w:type="dxa"/>
            <w:noWrap w:val="0"/>
            <w:vAlign w:val="center"/>
          </w:tcPr>
          <w:p>
            <w:pPr>
              <w:spacing w:line="42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w:t>
            </w:r>
          </w:p>
        </w:tc>
        <w:tc>
          <w:tcPr>
            <w:tcW w:w="5685" w:type="dxa"/>
            <w:noWrap w:val="0"/>
            <w:vAlign w:val="center"/>
          </w:tcPr>
          <w:p>
            <w:pPr>
              <w:spacing w:line="42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具备《政府采购法》第二十二条规定的条件。</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44" w:type="dxa"/>
            <w:noWrap w:val="0"/>
            <w:vAlign w:val="center"/>
          </w:tcPr>
          <w:p>
            <w:pPr>
              <w:spacing w:line="42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w:t>
            </w:r>
          </w:p>
        </w:tc>
        <w:tc>
          <w:tcPr>
            <w:tcW w:w="5685" w:type="dxa"/>
            <w:noWrap w:val="0"/>
            <w:vAlign w:val="center"/>
          </w:tcPr>
          <w:p>
            <w:pPr>
              <w:spacing w:line="42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具有从事本项目的经营范围和能力。</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544" w:type="dxa"/>
            <w:noWrap w:val="0"/>
            <w:vAlign w:val="center"/>
          </w:tcPr>
          <w:p>
            <w:pPr>
              <w:spacing w:line="42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3</w:t>
            </w:r>
          </w:p>
        </w:tc>
        <w:tc>
          <w:tcPr>
            <w:tcW w:w="5685" w:type="dxa"/>
            <w:noWrap w:val="0"/>
            <w:vAlign w:val="center"/>
          </w:tcPr>
          <w:p>
            <w:pPr>
              <w:spacing w:line="42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取得农药经营许可证，所提供的产品必须具有农药登记证（或农药临时登记证）、农药生产许可证（或生产批准文件）、产品质量标准等“三证”；投标人为非投标产品生产商的，须取得生产商的代理书或授权书，同时取得农药经营许可证。</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544" w:type="dxa"/>
            <w:noWrap w:val="0"/>
            <w:vAlign w:val="center"/>
          </w:tcPr>
          <w:p>
            <w:pPr>
              <w:spacing w:line="42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4</w:t>
            </w:r>
          </w:p>
        </w:tc>
        <w:tc>
          <w:tcPr>
            <w:tcW w:w="5685" w:type="dxa"/>
            <w:noWrap w:val="0"/>
            <w:vAlign w:val="center"/>
          </w:tcPr>
          <w:p>
            <w:pPr>
              <w:spacing w:line="42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投标药物为红火蚁防控饵剂，在登记的防治对象范围内，必须明确列出“红火蚁”作为特定的防治靶标，不含其它隐性成份。</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44" w:type="dxa"/>
            <w:noWrap w:val="0"/>
            <w:vAlign w:val="center"/>
          </w:tcPr>
          <w:p>
            <w:pPr>
              <w:spacing w:line="42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5</w:t>
            </w:r>
          </w:p>
        </w:tc>
        <w:tc>
          <w:tcPr>
            <w:tcW w:w="5685" w:type="dxa"/>
            <w:noWrap w:val="0"/>
            <w:vAlign w:val="center"/>
          </w:tcPr>
          <w:p>
            <w:pPr>
              <w:spacing w:line="42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参加政府采购活动前三年内，在经营活动中没有重大违法记录。</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544" w:type="dxa"/>
            <w:noWrap w:val="0"/>
            <w:vAlign w:val="center"/>
          </w:tcPr>
          <w:p>
            <w:pPr>
              <w:spacing w:line="420" w:lineRule="exact"/>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6</w:t>
            </w:r>
          </w:p>
        </w:tc>
        <w:tc>
          <w:tcPr>
            <w:tcW w:w="5685" w:type="dxa"/>
            <w:noWrap w:val="0"/>
            <w:vAlign w:val="center"/>
          </w:tcPr>
          <w:p>
            <w:pPr>
              <w:spacing w:line="42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提供0.1%茚虫威红火蚁饵剂不少于4.8吨、制作发放宣传横幅260条、宣传海报2550份，并按要求协助完成红火蚁监测报告。</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544" w:type="dxa"/>
            <w:noWrap w:val="0"/>
            <w:vAlign w:val="center"/>
          </w:tcPr>
          <w:p>
            <w:pPr>
              <w:spacing w:line="42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w:t>
            </w:r>
          </w:p>
        </w:tc>
        <w:tc>
          <w:tcPr>
            <w:tcW w:w="5685" w:type="dxa"/>
            <w:noWrap w:val="0"/>
            <w:vAlign w:val="center"/>
          </w:tcPr>
          <w:p>
            <w:pPr>
              <w:spacing w:line="42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本项目不接受联合体投标。</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544" w:type="dxa"/>
            <w:noWrap w:val="0"/>
            <w:vAlign w:val="center"/>
          </w:tcPr>
          <w:p>
            <w:pPr>
              <w:spacing w:line="42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8</w:t>
            </w:r>
          </w:p>
        </w:tc>
        <w:tc>
          <w:tcPr>
            <w:tcW w:w="5685" w:type="dxa"/>
            <w:noWrap w:val="0"/>
            <w:vAlign w:val="center"/>
          </w:tcPr>
          <w:p>
            <w:pPr>
              <w:spacing w:line="42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是否通过资格性审查</w:t>
            </w:r>
          </w:p>
        </w:tc>
        <w:tc>
          <w:tcPr>
            <w:tcW w:w="741" w:type="dxa"/>
            <w:noWrap w:val="0"/>
            <w:vAlign w:val="center"/>
          </w:tcPr>
          <w:p>
            <w:pPr>
              <w:spacing w:line="420" w:lineRule="exact"/>
              <w:jc w:val="center"/>
              <w:rPr>
                <w:rFonts w:hint="eastAsia" w:ascii="仿宋" w:hAnsi="仿宋" w:eastAsia="仿宋" w:cs="仿宋"/>
                <w:color w:val="auto"/>
                <w:sz w:val="32"/>
                <w:szCs w:val="32"/>
                <w:highlight w:val="none"/>
              </w:rPr>
            </w:pPr>
          </w:p>
        </w:tc>
        <w:tc>
          <w:tcPr>
            <w:tcW w:w="796" w:type="dxa"/>
            <w:noWrap w:val="0"/>
            <w:vAlign w:val="center"/>
          </w:tcPr>
          <w:p>
            <w:pPr>
              <w:spacing w:line="420" w:lineRule="exact"/>
              <w:jc w:val="center"/>
              <w:rPr>
                <w:rFonts w:hint="eastAsia" w:ascii="仿宋" w:hAnsi="仿宋" w:eastAsia="仿宋" w:cs="仿宋"/>
                <w:color w:val="auto"/>
                <w:sz w:val="32"/>
                <w:szCs w:val="32"/>
                <w:highlight w:val="none"/>
              </w:rPr>
            </w:pPr>
          </w:p>
        </w:tc>
        <w:tc>
          <w:tcPr>
            <w:tcW w:w="833" w:type="dxa"/>
            <w:noWrap w:val="0"/>
            <w:vAlign w:val="center"/>
          </w:tcPr>
          <w:p>
            <w:pPr>
              <w:spacing w:line="420" w:lineRule="exact"/>
              <w:jc w:val="center"/>
              <w:rPr>
                <w:rFonts w:hint="eastAsia" w:ascii="仿宋" w:hAnsi="仿宋" w:eastAsia="仿宋" w:cs="仿宋"/>
                <w:color w:val="auto"/>
                <w:sz w:val="32"/>
                <w:szCs w:val="32"/>
                <w:highlight w:val="none"/>
              </w:rPr>
            </w:pPr>
          </w:p>
        </w:tc>
      </w:tr>
    </w:tbl>
    <w:p>
      <w:pPr>
        <w:rPr>
          <w:rFonts w:hint="eastAsia" w:ascii="仿宋" w:hAnsi="仿宋" w:eastAsia="仿宋" w:cs="仿宋"/>
          <w:color w:val="auto"/>
          <w:sz w:val="32"/>
          <w:szCs w:val="32"/>
          <w:highlight w:val="none"/>
        </w:rPr>
      </w:pP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（二）综合性评审</w:t>
      </w:r>
    </w:p>
    <w:p>
      <w:pPr>
        <w:tabs>
          <w:tab w:val="left" w:pos="945"/>
        </w:tabs>
        <w:spacing w:line="360" w:lineRule="auto"/>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综合性评审评分总值最高为100分，商务、技术及价格评分分值（权重）设置如下：</w:t>
      </w:r>
    </w:p>
    <w:tbl>
      <w:tblPr>
        <w:tblStyle w:val="3"/>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2057"/>
        <w:gridCol w:w="2080"/>
        <w:gridCol w:w="2080"/>
        <w:gridCol w:w="208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3" w:hRule="atLeast"/>
          <w:jc w:val="center"/>
        </w:trPr>
        <w:tc>
          <w:tcPr>
            <w:tcW w:w="2057" w:type="dxa"/>
            <w:tcBorders>
              <w:top w:val="single" w:color="auto" w:sz="12" w:space="0"/>
              <w:left w:val="single" w:color="auto" w:sz="12" w:space="0"/>
              <w:bottom w:val="single" w:color="auto" w:sz="2" w:space="0"/>
              <w:right w:val="single" w:color="auto" w:sz="2" w:space="0"/>
            </w:tcBorders>
            <w:noWrap w:val="0"/>
            <w:vAlign w:val="center"/>
          </w:tcPr>
          <w:p>
            <w:pPr>
              <w:snapToGrid w:val="0"/>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分值比例（100%）</w:t>
            </w:r>
          </w:p>
        </w:tc>
        <w:tc>
          <w:tcPr>
            <w:tcW w:w="2080" w:type="dxa"/>
            <w:tcBorders>
              <w:top w:val="single" w:color="auto" w:sz="12" w:space="0"/>
              <w:left w:val="single" w:color="auto" w:sz="2" w:space="0"/>
              <w:bottom w:val="single" w:color="auto" w:sz="2" w:space="0"/>
              <w:right w:val="single" w:color="auto" w:sz="2" w:space="0"/>
            </w:tcBorders>
            <w:noWrap w:val="0"/>
            <w:vAlign w:val="center"/>
          </w:tcPr>
          <w:p>
            <w:pPr>
              <w:snapToGrid w:val="0"/>
              <w:jc w:val="center"/>
              <w:rPr>
                <w:rFonts w:hint="eastAsia" w:ascii="仿宋" w:hAnsi="仿宋" w:eastAsia="仿宋" w:cs="仿宋"/>
                <w:b/>
                <w:color w:val="auto"/>
                <w:sz w:val="32"/>
                <w:szCs w:val="32"/>
                <w:highlight w:val="none"/>
              </w:rPr>
            </w:pPr>
            <w:r>
              <w:rPr>
                <w:rFonts w:hint="eastAsia" w:ascii="仿宋" w:hAnsi="仿宋" w:eastAsia="仿宋" w:cs="仿宋"/>
                <w:b/>
                <w:bCs/>
                <w:color w:val="auto"/>
                <w:sz w:val="32"/>
                <w:szCs w:val="32"/>
                <w:highlight w:val="none"/>
              </w:rPr>
              <w:t>商务</w:t>
            </w:r>
            <w:r>
              <w:rPr>
                <w:rFonts w:hint="eastAsia" w:ascii="仿宋" w:hAnsi="仿宋" w:eastAsia="仿宋" w:cs="仿宋"/>
                <w:b/>
                <w:color w:val="auto"/>
                <w:spacing w:val="-4"/>
                <w:sz w:val="32"/>
                <w:szCs w:val="32"/>
                <w:highlight w:val="none"/>
              </w:rPr>
              <w:t>评分（35</w:t>
            </w:r>
            <w:r>
              <w:rPr>
                <w:rFonts w:hint="eastAsia" w:ascii="仿宋" w:hAnsi="仿宋" w:eastAsia="仿宋" w:cs="仿宋"/>
                <w:b/>
                <w:color w:val="auto"/>
                <w:sz w:val="32"/>
                <w:szCs w:val="32"/>
                <w:highlight w:val="none"/>
              </w:rPr>
              <w:t>%</w:t>
            </w:r>
            <w:r>
              <w:rPr>
                <w:rFonts w:hint="eastAsia" w:ascii="仿宋" w:hAnsi="仿宋" w:eastAsia="仿宋" w:cs="仿宋"/>
                <w:b/>
                <w:color w:val="auto"/>
                <w:spacing w:val="-4"/>
                <w:sz w:val="32"/>
                <w:szCs w:val="32"/>
                <w:highlight w:val="none"/>
              </w:rPr>
              <w:t>）</w:t>
            </w:r>
          </w:p>
        </w:tc>
        <w:tc>
          <w:tcPr>
            <w:tcW w:w="2080" w:type="dxa"/>
            <w:tcBorders>
              <w:top w:val="single" w:color="auto" w:sz="12" w:space="0"/>
              <w:left w:val="single" w:color="auto" w:sz="2" w:space="0"/>
              <w:bottom w:val="single" w:color="auto" w:sz="2" w:space="0"/>
              <w:right w:val="single" w:color="auto" w:sz="2" w:space="0"/>
            </w:tcBorders>
            <w:noWrap w:val="0"/>
            <w:vAlign w:val="center"/>
          </w:tcPr>
          <w:p>
            <w:pPr>
              <w:snapToGrid w:val="0"/>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技术评</w:t>
            </w:r>
            <w:r>
              <w:rPr>
                <w:rFonts w:hint="eastAsia" w:ascii="仿宋" w:hAnsi="仿宋" w:eastAsia="仿宋" w:cs="仿宋"/>
                <w:b/>
                <w:color w:val="auto"/>
                <w:spacing w:val="-4"/>
                <w:sz w:val="32"/>
                <w:szCs w:val="32"/>
                <w:highlight w:val="none"/>
              </w:rPr>
              <w:t>分（35</w:t>
            </w:r>
            <w:r>
              <w:rPr>
                <w:rFonts w:hint="eastAsia" w:ascii="仿宋" w:hAnsi="仿宋" w:eastAsia="仿宋" w:cs="仿宋"/>
                <w:b/>
                <w:color w:val="auto"/>
                <w:sz w:val="32"/>
                <w:szCs w:val="32"/>
                <w:highlight w:val="none"/>
              </w:rPr>
              <w:t>%</w:t>
            </w:r>
            <w:r>
              <w:rPr>
                <w:rFonts w:hint="eastAsia" w:ascii="仿宋" w:hAnsi="仿宋" w:eastAsia="仿宋" w:cs="仿宋"/>
                <w:b/>
                <w:color w:val="auto"/>
                <w:spacing w:val="-4"/>
                <w:sz w:val="32"/>
                <w:szCs w:val="32"/>
                <w:highlight w:val="none"/>
              </w:rPr>
              <w:t>）</w:t>
            </w:r>
          </w:p>
        </w:tc>
        <w:tc>
          <w:tcPr>
            <w:tcW w:w="2080" w:type="dxa"/>
            <w:tcBorders>
              <w:top w:val="single" w:color="auto" w:sz="12" w:space="0"/>
              <w:left w:val="single" w:color="auto" w:sz="2" w:space="0"/>
              <w:bottom w:val="single" w:color="auto" w:sz="2" w:space="0"/>
              <w:right w:val="single" w:color="auto" w:sz="12" w:space="0"/>
            </w:tcBorders>
            <w:noWrap w:val="0"/>
            <w:vAlign w:val="center"/>
          </w:tcPr>
          <w:p>
            <w:pPr>
              <w:snapToGrid w:val="0"/>
              <w:jc w:val="center"/>
              <w:rPr>
                <w:rFonts w:hint="eastAsia" w:ascii="仿宋" w:hAnsi="仿宋" w:eastAsia="仿宋" w:cs="仿宋"/>
                <w:b/>
                <w:color w:val="auto"/>
                <w:sz w:val="32"/>
                <w:szCs w:val="32"/>
                <w:highlight w:val="none"/>
              </w:rPr>
            </w:pPr>
            <w:r>
              <w:rPr>
                <w:rFonts w:hint="eastAsia" w:ascii="仿宋" w:hAnsi="仿宋" w:eastAsia="仿宋" w:cs="仿宋"/>
                <w:b/>
                <w:color w:val="auto"/>
                <w:spacing w:val="-4"/>
                <w:sz w:val="32"/>
                <w:szCs w:val="32"/>
                <w:highlight w:val="none"/>
              </w:rPr>
              <w:t>价格评分（30</w:t>
            </w:r>
            <w:r>
              <w:rPr>
                <w:rFonts w:hint="eastAsia" w:ascii="仿宋" w:hAnsi="仿宋" w:eastAsia="仿宋" w:cs="仿宋"/>
                <w:b/>
                <w:color w:val="auto"/>
                <w:sz w:val="32"/>
                <w:szCs w:val="32"/>
                <w:highlight w:val="none"/>
              </w:rPr>
              <w:t>%</w:t>
            </w:r>
            <w:r>
              <w:rPr>
                <w:rFonts w:hint="eastAsia" w:ascii="仿宋" w:hAnsi="仿宋" w:eastAsia="仿宋" w:cs="仿宋"/>
                <w:b/>
                <w:color w:val="auto"/>
                <w:spacing w:val="-4"/>
                <w:sz w:val="32"/>
                <w:szCs w:val="32"/>
                <w:highlight w:val="none"/>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0" w:hRule="atLeast"/>
          <w:jc w:val="center"/>
        </w:trPr>
        <w:tc>
          <w:tcPr>
            <w:tcW w:w="2057" w:type="dxa"/>
            <w:tcBorders>
              <w:top w:val="single" w:color="auto" w:sz="2" w:space="0"/>
              <w:left w:val="single" w:color="auto" w:sz="12" w:space="0"/>
              <w:bottom w:val="single" w:color="auto" w:sz="12" w:space="0"/>
              <w:right w:val="single" w:color="auto" w:sz="2" w:space="0"/>
            </w:tcBorders>
            <w:noWrap w:val="0"/>
            <w:vAlign w:val="center"/>
          </w:tcPr>
          <w:p>
            <w:pPr>
              <w:snapToGrid w:val="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分值</w:t>
            </w:r>
          </w:p>
        </w:tc>
        <w:tc>
          <w:tcPr>
            <w:tcW w:w="2080" w:type="dxa"/>
            <w:tcBorders>
              <w:top w:val="single" w:color="auto" w:sz="2" w:space="0"/>
              <w:left w:val="single" w:color="auto" w:sz="2" w:space="0"/>
              <w:bottom w:val="single" w:color="auto" w:sz="12" w:space="0"/>
              <w:right w:val="single" w:color="auto" w:sz="2" w:space="0"/>
            </w:tcBorders>
            <w:noWrap w:val="0"/>
            <w:vAlign w:val="center"/>
          </w:tcPr>
          <w:p>
            <w:pPr>
              <w:snapToGrid w:val="0"/>
              <w:jc w:val="center"/>
              <w:rPr>
                <w:rFonts w:hint="eastAsia" w:ascii="仿宋" w:hAnsi="仿宋" w:eastAsia="仿宋" w:cs="仿宋"/>
                <w:color w:val="auto"/>
                <w:sz w:val="32"/>
                <w:szCs w:val="32"/>
                <w:highlight w:val="none"/>
              </w:rPr>
            </w:pPr>
            <w:r>
              <w:rPr>
                <w:rFonts w:hint="eastAsia" w:ascii="仿宋" w:hAnsi="仿宋" w:eastAsia="仿宋" w:cs="仿宋"/>
                <w:bCs/>
                <w:color w:val="auto"/>
                <w:sz w:val="32"/>
                <w:szCs w:val="32"/>
                <w:highlight w:val="none"/>
              </w:rPr>
              <w:t>35分</w:t>
            </w:r>
          </w:p>
        </w:tc>
        <w:tc>
          <w:tcPr>
            <w:tcW w:w="2080" w:type="dxa"/>
            <w:tcBorders>
              <w:top w:val="single" w:color="auto" w:sz="2" w:space="0"/>
              <w:left w:val="single" w:color="auto" w:sz="2" w:space="0"/>
              <w:bottom w:val="single" w:color="auto" w:sz="12" w:space="0"/>
              <w:right w:val="single" w:color="auto" w:sz="2" w:space="0"/>
            </w:tcBorders>
            <w:noWrap w:val="0"/>
            <w:vAlign w:val="center"/>
          </w:tcPr>
          <w:p>
            <w:pPr>
              <w:snapToGrid w:val="0"/>
              <w:jc w:val="center"/>
              <w:rPr>
                <w:rFonts w:hint="eastAsia" w:ascii="仿宋" w:hAnsi="仿宋" w:eastAsia="仿宋" w:cs="仿宋"/>
                <w:color w:val="auto"/>
                <w:sz w:val="32"/>
                <w:szCs w:val="32"/>
                <w:highlight w:val="none"/>
              </w:rPr>
            </w:pPr>
            <w:r>
              <w:rPr>
                <w:rFonts w:hint="eastAsia" w:ascii="仿宋" w:hAnsi="仿宋" w:eastAsia="仿宋" w:cs="仿宋"/>
                <w:bCs/>
                <w:color w:val="auto"/>
                <w:sz w:val="32"/>
                <w:szCs w:val="32"/>
                <w:highlight w:val="none"/>
              </w:rPr>
              <w:t>35分</w:t>
            </w:r>
          </w:p>
        </w:tc>
        <w:tc>
          <w:tcPr>
            <w:tcW w:w="2080" w:type="dxa"/>
            <w:tcBorders>
              <w:top w:val="single" w:color="auto" w:sz="2" w:space="0"/>
              <w:left w:val="single" w:color="auto" w:sz="2" w:space="0"/>
              <w:bottom w:val="single" w:color="auto" w:sz="12" w:space="0"/>
              <w:right w:val="single" w:color="auto" w:sz="12" w:space="0"/>
            </w:tcBorders>
            <w:noWrap w:val="0"/>
            <w:vAlign w:val="center"/>
          </w:tcPr>
          <w:p>
            <w:pPr>
              <w:snapToGrid w:val="0"/>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30分</w:t>
            </w:r>
          </w:p>
        </w:tc>
      </w:tr>
    </w:tbl>
    <w:p>
      <w:pPr>
        <w:tabs>
          <w:tab w:val="left" w:pos="0"/>
        </w:tabs>
        <w:spacing w:line="360" w:lineRule="auto"/>
        <w:rPr>
          <w:rFonts w:hint="eastAsia" w:ascii="仿宋" w:hAnsi="仿宋" w:eastAsia="仿宋" w:cs="仿宋"/>
          <w:color w:val="auto"/>
          <w:sz w:val="32"/>
          <w:szCs w:val="32"/>
          <w:highlight w:val="none"/>
        </w:rPr>
      </w:pPr>
    </w:p>
    <w:p>
      <w:pPr>
        <w:tabs>
          <w:tab w:val="left" w:pos="0"/>
        </w:tabs>
        <w:spacing w:line="360" w:lineRule="auto"/>
        <w:ind w:firstLine="640" w:firstLineChars="200"/>
        <w:rPr>
          <w:rFonts w:hint="eastAsia" w:ascii="仿宋" w:hAnsi="仿宋" w:eastAsia="仿宋" w:cs="仿宋"/>
          <w:b/>
          <w:color w:val="auto"/>
          <w:sz w:val="32"/>
          <w:szCs w:val="32"/>
          <w:highlight w:val="none"/>
        </w:rPr>
      </w:pPr>
      <w:r>
        <w:rPr>
          <w:rFonts w:hint="eastAsia" w:ascii="仿宋" w:hAnsi="仿宋" w:eastAsia="仿宋" w:cs="仿宋"/>
          <w:color w:val="auto"/>
          <w:sz w:val="32"/>
          <w:szCs w:val="32"/>
          <w:highlight w:val="none"/>
        </w:rPr>
        <w:t>1.商务评分：评审小组就各投标文件对商务评审内容的各项要求进行评分，评审的具体内容见《商务评审表》：</w:t>
      </w:r>
    </w:p>
    <w:p>
      <w:pPr>
        <w:spacing w:line="360" w:lineRule="auto"/>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商务评审表</w:t>
      </w:r>
    </w:p>
    <w:tbl>
      <w:tblPr>
        <w:tblStyle w:val="3"/>
        <w:tblW w:w="8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82"/>
        <w:gridCol w:w="1105"/>
        <w:gridCol w:w="732"/>
        <w:gridCol w:w="60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682" w:type="dxa"/>
            <w:tcBorders>
              <w:top w:val="single" w:color="auto" w:sz="12"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序号</w:t>
            </w:r>
          </w:p>
        </w:tc>
        <w:tc>
          <w:tcPr>
            <w:tcW w:w="1105" w:type="dxa"/>
            <w:tcBorders>
              <w:top w:val="single" w:color="auto" w:sz="12"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评审项目</w:t>
            </w:r>
          </w:p>
        </w:tc>
        <w:tc>
          <w:tcPr>
            <w:tcW w:w="732" w:type="dxa"/>
            <w:tcBorders>
              <w:top w:val="single" w:color="auto" w:sz="12"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分值</w:t>
            </w:r>
          </w:p>
        </w:tc>
        <w:tc>
          <w:tcPr>
            <w:tcW w:w="6099" w:type="dxa"/>
            <w:tcBorders>
              <w:top w:val="single" w:color="auto" w:sz="12" w:space="0"/>
              <w:left w:val="single" w:color="auto" w:sz="6" w:space="0"/>
              <w:bottom w:val="single" w:color="auto" w:sz="6" w:space="0"/>
              <w:right w:val="single" w:color="auto" w:sz="12"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评审内容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682"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1</w:t>
            </w:r>
          </w:p>
        </w:tc>
        <w:tc>
          <w:tcPr>
            <w:tcW w:w="1105" w:type="dxa"/>
            <w:tcBorders>
              <w:top w:val="single" w:color="auto" w:sz="6" w:space="0"/>
              <w:left w:val="single" w:color="auto" w:sz="6" w:space="0"/>
              <w:bottom w:val="single" w:color="auto" w:sz="6" w:space="0"/>
              <w:right w:val="single" w:color="auto" w:sz="6" w:space="0"/>
            </w:tcBorders>
            <w:noWrap w:val="0"/>
            <w:vAlign w:val="center"/>
          </w:tcPr>
          <w:p>
            <w:pPr>
              <w:widowControl/>
              <w:spacing w:line="4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财务状况</w:t>
            </w:r>
          </w:p>
        </w:tc>
        <w:tc>
          <w:tcPr>
            <w:tcW w:w="732"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5分</w:t>
            </w:r>
          </w:p>
        </w:tc>
        <w:tc>
          <w:tcPr>
            <w:tcW w:w="6099" w:type="dxa"/>
            <w:tcBorders>
              <w:top w:val="single" w:color="auto" w:sz="6" w:space="0"/>
              <w:left w:val="single" w:color="auto" w:sz="6" w:space="0"/>
              <w:bottom w:val="single" w:color="auto" w:sz="6" w:space="0"/>
              <w:right w:val="single" w:color="auto" w:sz="12" w:space="0"/>
            </w:tcBorders>
            <w:noWrap w:val="0"/>
            <w:vAlign w:val="center"/>
          </w:tcPr>
          <w:p>
            <w:pPr>
              <w:widowControl/>
              <w:spacing w:line="400" w:lineRule="exac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经营情况良好，提供近两年财务审计报告或财务报表，得5分，</w:t>
            </w:r>
            <w:r>
              <w:rPr>
                <w:rFonts w:hint="eastAsia" w:ascii="仿宋" w:hAnsi="仿宋" w:eastAsia="仿宋" w:cs="仿宋"/>
                <w:bCs/>
                <w:color w:val="auto"/>
                <w:kern w:val="0"/>
                <w:sz w:val="32"/>
                <w:szCs w:val="32"/>
                <w:highlight w:val="none"/>
              </w:rPr>
              <w:t>未提供或材料不全的不得分</w:t>
            </w:r>
            <w:r>
              <w:rPr>
                <w:rFonts w:hint="eastAsia" w:ascii="仿宋" w:hAnsi="仿宋" w:eastAsia="仿宋" w:cs="仿宋"/>
                <w:color w:val="auto"/>
                <w:sz w:val="32"/>
                <w:szCs w:val="32"/>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07" w:hRule="atLeast"/>
        </w:trPr>
        <w:tc>
          <w:tcPr>
            <w:tcW w:w="682"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2</w:t>
            </w:r>
          </w:p>
        </w:tc>
        <w:tc>
          <w:tcPr>
            <w:tcW w:w="1105" w:type="dxa"/>
            <w:tcBorders>
              <w:top w:val="single" w:color="auto" w:sz="6" w:space="0"/>
              <w:left w:val="single" w:color="auto" w:sz="6" w:space="0"/>
              <w:bottom w:val="single" w:color="auto" w:sz="6" w:space="0"/>
              <w:right w:val="single" w:color="auto" w:sz="6" w:space="0"/>
            </w:tcBorders>
            <w:noWrap w:val="0"/>
            <w:vAlign w:val="center"/>
          </w:tcPr>
          <w:p>
            <w:pPr>
              <w:widowControl/>
              <w:spacing w:line="4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应急响应便利性</w:t>
            </w:r>
          </w:p>
        </w:tc>
        <w:tc>
          <w:tcPr>
            <w:tcW w:w="732"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3分</w:t>
            </w:r>
          </w:p>
        </w:tc>
        <w:tc>
          <w:tcPr>
            <w:tcW w:w="6099" w:type="dxa"/>
            <w:tcBorders>
              <w:top w:val="single" w:color="auto" w:sz="6" w:space="0"/>
              <w:left w:val="single" w:color="auto" w:sz="6" w:space="0"/>
              <w:bottom w:val="single" w:color="auto" w:sz="6" w:space="0"/>
              <w:right w:val="single" w:color="auto" w:sz="12" w:space="0"/>
            </w:tcBorders>
            <w:noWrap w:val="0"/>
            <w:vAlign w:val="center"/>
          </w:tcPr>
          <w:p>
            <w:pPr>
              <w:widowControl/>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投标人在广东省范围有应急储备仓库的。大于3000平方米得3分，大于1000平方米小于3000平方得2分，小于1000平方米得1分。提供有效证明文件（自持的提供房产证复印件，租赁的提供房产证和租赁合同复印件），</w:t>
            </w:r>
            <w:r>
              <w:rPr>
                <w:rFonts w:hint="eastAsia" w:ascii="仿宋" w:hAnsi="仿宋" w:eastAsia="仿宋" w:cs="仿宋"/>
                <w:color w:val="auto"/>
                <w:sz w:val="32"/>
                <w:szCs w:val="32"/>
                <w:highlight w:val="none"/>
              </w:rPr>
              <w:t>不提供或专家无法认定的不得分。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8" w:hRule="atLeast"/>
        </w:trPr>
        <w:tc>
          <w:tcPr>
            <w:tcW w:w="682"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3</w:t>
            </w:r>
          </w:p>
        </w:tc>
        <w:tc>
          <w:tcPr>
            <w:tcW w:w="1105"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同类项目业绩</w:t>
            </w:r>
          </w:p>
        </w:tc>
        <w:tc>
          <w:tcPr>
            <w:tcW w:w="732"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7分</w:t>
            </w:r>
          </w:p>
        </w:tc>
        <w:tc>
          <w:tcPr>
            <w:tcW w:w="6099" w:type="dxa"/>
            <w:tcBorders>
              <w:top w:val="single" w:color="auto" w:sz="6" w:space="0"/>
              <w:left w:val="single" w:color="auto" w:sz="6" w:space="0"/>
              <w:bottom w:val="single" w:color="auto" w:sz="6" w:space="0"/>
              <w:right w:val="single" w:color="auto" w:sz="12" w:space="0"/>
            </w:tcBorders>
            <w:noWrap w:val="0"/>
            <w:vAlign w:val="center"/>
          </w:tcPr>
          <w:p>
            <w:pPr>
              <w:widowControl/>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投标人近三年承担过的同类项目业绩，每提供一项得1分，最高得7分。</w:t>
            </w:r>
          </w:p>
          <w:p>
            <w:pPr>
              <w:widowControl/>
              <w:spacing w:line="400" w:lineRule="exac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注：以合同复印件为准，不提供或专家无法认定的不得分。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26" w:hRule="atLeast"/>
        </w:trPr>
        <w:tc>
          <w:tcPr>
            <w:tcW w:w="682"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4</w:t>
            </w:r>
          </w:p>
        </w:tc>
        <w:tc>
          <w:tcPr>
            <w:tcW w:w="1105" w:type="dxa"/>
            <w:tcBorders>
              <w:top w:val="single" w:color="auto" w:sz="6" w:space="0"/>
              <w:left w:val="single" w:color="auto" w:sz="6" w:space="0"/>
              <w:bottom w:val="single" w:color="auto" w:sz="6" w:space="0"/>
              <w:right w:val="single" w:color="auto" w:sz="6" w:space="0"/>
            </w:tcBorders>
            <w:noWrap w:val="0"/>
            <w:vAlign w:val="center"/>
          </w:tcPr>
          <w:p>
            <w:pPr>
              <w:widowControl/>
              <w:spacing w:line="400" w:lineRule="exact"/>
              <w:jc w:val="center"/>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投标人综合实力</w:t>
            </w:r>
          </w:p>
        </w:tc>
        <w:tc>
          <w:tcPr>
            <w:tcW w:w="732"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rPr>
              <w:t>20分</w:t>
            </w:r>
          </w:p>
        </w:tc>
        <w:tc>
          <w:tcPr>
            <w:tcW w:w="6099" w:type="dxa"/>
            <w:tcBorders>
              <w:top w:val="single" w:color="auto" w:sz="6" w:space="0"/>
              <w:left w:val="single" w:color="auto" w:sz="6" w:space="0"/>
              <w:bottom w:val="single" w:color="auto" w:sz="6" w:space="0"/>
              <w:right w:val="single" w:color="auto" w:sz="12" w:space="0"/>
            </w:tcBorders>
            <w:noWrap w:val="0"/>
            <w:vAlign w:val="center"/>
          </w:tcPr>
          <w:p>
            <w:pPr>
              <w:spacing w:line="400" w:lineRule="exact"/>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1.通过ISO9001</w:t>
            </w:r>
            <w:r>
              <w:rPr>
                <w:rFonts w:ascii="仿宋" w:hAnsi="仿宋" w:eastAsia="仿宋" w:cs="仿宋"/>
                <w:bCs/>
                <w:color w:val="auto"/>
                <w:kern w:val="0"/>
                <w:sz w:val="32"/>
                <w:szCs w:val="32"/>
                <w:highlight w:val="none"/>
              </w:rPr>
              <w:t>质量</w:t>
            </w:r>
            <w:r>
              <w:rPr>
                <w:rFonts w:hint="eastAsia" w:ascii="仿宋" w:hAnsi="仿宋" w:eastAsia="仿宋" w:cs="仿宋"/>
                <w:bCs/>
                <w:color w:val="auto"/>
                <w:kern w:val="0"/>
                <w:sz w:val="32"/>
                <w:szCs w:val="32"/>
                <w:highlight w:val="none"/>
              </w:rPr>
              <w:t>认证得1分。</w:t>
            </w:r>
          </w:p>
          <w:p>
            <w:pPr>
              <w:widowControl/>
              <w:spacing w:line="400" w:lineRule="exact"/>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2.AAA级质量信用企业得1分。</w:t>
            </w:r>
          </w:p>
          <w:p>
            <w:pPr>
              <w:spacing w:line="400" w:lineRule="exact"/>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3.高新技术企业得1分。</w:t>
            </w:r>
          </w:p>
          <w:p>
            <w:pPr>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kern w:val="0"/>
                <w:sz w:val="32"/>
                <w:szCs w:val="32"/>
                <w:highlight w:val="none"/>
              </w:rPr>
              <w:t>4.参与发布与</w:t>
            </w:r>
            <w:r>
              <w:rPr>
                <w:rFonts w:hint="eastAsia" w:ascii="仿宋" w:hAnsi="仿宋" w:eastAsia="仿宋" w:cs="仿宋"/>
                <w:bCs/>
                <w:color w:val="auto"/>
                <w:sz w:val="32"/>
                <w:szCs w:val="32"/>
                <w:highlight w:val="none"/>
              </w:rPr>
              <w:t>红火蚁防治相关的团体标准的2分。</w:t>
            </w:r>
          </w:p>
          <w:p>
            <w:pPr>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5.参与红火蚁防治相关的项目获市级及以上的科学技术奖，得2分</w:t>
            </w:r>
          </w:p>
          <w:p>
            <w:pPr>
              <w:spacing w:line="400" w:lineRule="exact"/>
              <w:rPr>
                <w:rFonts w:hint="eastAsia" w:ascii="仿宋" w:hAnsi="仿宋" w:eastAsia="仿宋" w:cs="仿宋"/>
                <w:bCs/>
                <w:color w:val="auto"/>
                <w:kern w:val="0"/>
                <w:sz w:val="32"/>
                <w:szCs w:val="32"/>
                <w:highlight w:val="none"/>
              </w:rPr>
            </w:pPr>
            <w:bookmarkStart w:id="0" w:name="_Toc32501"/>
            <w:r>
              <w:rPr>
                <w:rFonts w:hint="eastAsia" w:ascii="仿宋" w:hAnsi="仿宋" w:eastAsia="仿宋" w:cs="仿宋"/>
                <w:bCs/>
                <w:color w:val="auto"/>
                <w:sz w:val="32"/>
                <w:szCs w:val="32"/>
                <w:highlight w:val="none"/>
              </w:rPr>
              <w:t>6.获广东省重点农业龙头企业</w:t>
            </w:r>
            <w:bookmarkEnd w:id="0"/>
            <w:r>
              <w:rPr>
                <w:rFonts w:hint="eastAsia" w:ascii="仿宋" w:hAnsi="仿宋" w:eastAsia="仿宋" w:cs="仿宋"/>
                <w:bCs/>
                <w:color w:val="auto"/>
                <w:sz w:val="32"/>
                <w:szCs w:val="32"/>
                <w:highlight w:val="none"/>
              </w:rPr>
              <w:t>，得3分。</w:t>
            </w:r>
          </w:p>
          <w:p>
            <w:pPr>
              <w:widowControl/>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kern w:val="0"/>
                <w:sz w:val="32"/>
                <w:szCs w:val="32"/>
                <w:highlight w:val="none"/>
              </w:rPr>
              <w:t>7.</w:t>
            </w:r>
            <w:r>
              <w:rPr>
                <w:rFonts w:hint="eastAsia" w:ascii="仿宋" w:hAnsi="仿宋" w:eastAsia="仿宋" w:cs="仿宋"/>
                <w:bCs/>
                <w:color w:val="auto"/>
                <w:sz w:val="32"/>
                <w:szCs w:val="32"/>
                <w:highlight w:val="none"/>
              </w:rPr>
              <w:t>供应商获得安全生产标准化证书,3分</w:t>
            </w:r>
          </w:p>
          <w:p>
            <w:pPr>
              <w:widowControl/>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8.获得</w:t>
            </w:r>
            <w:r>
              <w:rPr>
                <w:rFonts w:hint="eastAsia" w:ascii="仿宋" w:hAnsi="仿宋" w:eastAsia="仿宋" w:cs="仿宋"/>
                <w:bCs/>
                <w:color w:val="auto"/>
                <w:sz w:val="32"/>
                <w:szCs w:val="32"/>
                <w:highlight w:val="none"/>
                <w:lang w:val="zh-CN"/>
              </w:rPr>
              <w:t>省级或省级以上的</w:t>
            </w:r>
            <w:r>
              <w:rPr>
                <w:rFonts w:hint="eastAsia" w:ascii="仿宋" w:hAnsi="仿宋" w:eastAsia="仿宋" w:cs="仿宋"/>
                <w:bCs/>
                <w:color w:val="auto"/>
                <w:sz w:val="32"/>
                <w:szCs w:val="32"/>
                <w:highlight w:val="none"/>
              </w:rPr>
              <w:t>农业部门</w:t>
            </w:r>
            <w:r>
              <w:rPr>
                <w:rFonts w:hint="eastAsia" w:ascii="仿宋" w:hAnsi="仿宋" w:eastAsia="仿宋" w:cs="仿宋"/>
                <w:bCs/>
                <w:color w:val="auto"/>
                <w:sz w:val="32"/>
                <w:szCs w:val="32"/>
                <w:highlight w:val="none"/>
                <w:lang w:val="zh-CN"/>
              </w:rPr>
              <w:t>表彰</w:t>
            </w:r>
            <w:r>
              <w:rPr>
                <w:rFonts w:hint="eastAsia" w:ascii="仿宋" w:hAnsi="仿宋" w:eastAsia="仿宋" w:cs="仿宋"/>
                <w:bCs/>
                <w:color w:val="auto"/>
                <w:sz w:val="32"/>
                <w:szCs w:val="32"/>
                <w:highlight w:val="none"/>
              </w:rPr>
              <w:t>证明</w:t>
            </w:r>
            <w:r>
              <w:rPr>
                <w:rFonts w:hint="eastAsia" w:ascii="仿宋" w:hAnsi="仿宋" w:eastAsia="仿宋" w:cs="仿宋"/>
                <w:bCs/>
                <w:color w:val="auto"/>
                <w:sz w:val="32"/>
                <w:szCs w:val="32"/>
                <w:highlight w:val="none"/>
                <w:lang w:val="zh-CN"/>
              </w:rPr>
              <w:t>材料</w:t>
            </w:r>
            <w:r>
              <w:rPr>
                <w:rFonts w:hint="eastAsia" w:ascii="仿宋" w:hAnsi="仿宋" w:eastAsia="仿宋" w:cs="仿宋"/>
                <w:bCs/>
                <w:color w:val="auto"/>
                <w:sz w:val="32"/>
                <w:szCs w:val="32"/>
                <w:highlight w:val="none"/>
              </w:rPr>
              <w:t>，得3分。</w:t>
            </w:r>
          </w:p>
          <w:p>
            <w:pPr>
              <w:widowControl/>
              <w:spacing w:line="400" w:lineRule="exact"/>
              <w:rPr>
                <w:rFonts w:ascii="仿宋" w:hAnsi="仿宋" w:eastAsia="仿宋" w:cs="仿宋"/>
                <w:bCs/>
                <w:color w:val="auto"/>
                <w:kern w:val="0"/>
                <w:sz w:val="32"/>
                <w:szCs w:val="32"/>
                <w:highlight w:val="none"/>
              </w:rPr>
            </w:pPr>
            <w:r>
              <w:rPr>
                <w:rFonts w:hint="eastAsia" w:ascii="仿宋" w:hAnsi="仿宋" w:eastAsia="仿宋" w:cs="仿宋"/>
                <w:bCs/>
                <w:color w:val="auto"/>
                <w:sz w:val="32"/>
                <w:szCs w:val="32"/>
                <w:highlight w:val="none"/>
              </w:rPr>
              <w:t>9.获得红火蚁药物研究及防控技术方面专利</w:t>
            </w:r>
            <w:r>
              <w:rPr>
                <w:rFonts w:hint="eastAsia" w:ascii="仿宋" w:hAnsi="仿宋" w:eastAsia="仿宋" w:cs="仿宋"/>
                <w:bCs/>
                <w:color w:val="auto"/>
                <w:kern w:val="0"/>
                <w:sz w:val="32"/>
                <w:szCs w:val="32"/>
                <w:highlight w:val="none"/>
              </w:rPr>
              <w:t>（发明专利或实用新型专利），每提供一项得2分，最高得4分。</w:t>
            </w:r>
          </w:p>
          <w:p>
            <w:pPr>
              <w:widowControl/>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kern w:val="0"/>
                <w:sz w:val="32"/>
                <w:szCs w:val="32"/>
                <w:highlight w:val="none"/>
              </w:rPr>
              <w:t>未提供的不得分。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3" w:hRule="atLeast"/>
        </w:trPr>
        <w:tc>
          <w:tcPr>
            <w:tcW w:w="8618" w:type="dxa"/>
            <w:gridSpan w:val="4"/>
            <w:tcBorders>
              <w:top w:val="single" w:color="auto" w:sz="6" w:space="0"/>
              <w:left w:val="single" w:color="auto" w:sz="12" w:space="0"/>
              <w:bottom w:val="single" w:color="auto" w:sz="12" w:space="0"/>
              <w:right w:val="single" w:color="auto" w:sz="12"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合计：35分</w:t>
            </w:r>
          </w:p>
        </w:tc>
      </w:tr>
    </w:tbl>
    <w:p>
      <w:pPr>
        <w:tabs>
          <w:tab w:val="left" w:pos="0"/>
        </w:tabs>
        <w:spacing w:line="360" w:lineRule="auto"/>
        <w:rPr>
          <w:rFonts w:hint="eastAsia" w:ascii="仿宋" w:hAnsi="仿宋" w:eastAsia="仿宋" w:cs="仿宋"/>
          <w:color w:val="auto"/>
          <w:sz w:val="32"/>
          <w:szCs w:val="32"/>
          <w:highlight w:val="none"/>
        </w:rPr>
      </w:pPr>
    </w:p>
    <w:p>
      <w:pPr>
        <w:tabs>
          <w:tab w:val="left" w:pos="0"/>
        </w:tabs>
        <w:spacing w:line="360" w:lineRule="auto"/>
        <w:ind w:firstLine="640" w:firstLineChars="200"/>
        <w:rPr>
          <w:rFonts w:ascii="宋体" w:hAnsi="宋体"/>
          <w:color w:val="auto"/>
          <w:sz w:val="32"/>
          <w:szCs w:val="32"/>
          <w:highlight w:val="none"/>
        </w:rPr>
      </w:pPr>
      <w:r>
        <w:rPr>
          <w:rFonts w:hint="eastAsia" w:ascii="仿宋" w:hAnsi="仿宋" w:eastAsia="仿宋" w:cs="仿宋"/>
          <w:color w:val="auto"/>
          <w:sz w:val="32"/>
          <w:szCs w:val="32"/>
          <w:highlight w:val="none"/>
        </w:rPr>
        <w:t>2.技术评分：评审小组就各投标人对技术评审内容的各项要求进行评分，评审的具体内容见《技术评审表》。</w:t>
      </w:r>
    </w:p>
    <w:p>
      <w:pPr>
        <w:spacing w:before="156" w:line="360" w:lineRule="auto"/>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技术评审表</w:t>
      </w:r>
    </w:p>
    <w:tbl>
      <w:tblPr>
        <w:tblStyle w:val="3"/>
        <w:tblW w:w="84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27"/>
        <w:gridCol w:w="1096"/>
        <w:gridCol w:w="699"/>
        <w:gridCol w:w="60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627" w:type="dxa"/>
            <w:tcBorders>
              <w:top w:val="single" w:color="auto" w:sz="12"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序号</w:t>
            </w:r>
          </w:p>
        </w:tc>
        <w:tc>
          <w:tcPr>
            <w:tcW w:w="1096" w:type="dxa"/>
            <w:tcBorders>
              <w:top w:val="single" w:color="auto" w:sz="12"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评审项目</w:t>
            </w:r>
          </w:p>
        </w:tc>
        <w:tc>
          <w:tcPr>
            <w:tcW w:w="699" w:type="dxa"/>
            <w:tcBorders>
              <w:top w:val="single" w:color="auto" w:sz="12"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分值</w:t>
            </w:r>
          </w:p>
        </w:tc>
        <w:tc>
          <w:tcPr>
            <w:tcW w:w="6035" w:type="dxa"/>
            <w:tcBorders>
              <w:top w:val="single" w:color="auto" w:sz="12" w:space="0"/>
              <w:left w:val="single" w:color="auto" w:sz="6" w:space="0"/>
              <w:bottom w:val="single" w:color="auto" w:sz="6" w:space="0"/>
              <w:right w:val="single" w:color="auto" w:sz="12" w:space="0"/>
            </w:tcBorders>
            <w:noWrap w:val="0"/>
            <w:vAlign w:val="center"/>
          </w:tcPr>
          <w:p>
            <w:pPr>
              <w:spacing w:line="400" w:lineRule="exact"/>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评审内容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7" w:hRule="atLeast"/>
        </w:trPr>
        <w:tc>
          <w:tcPr>
            <w:tcW w:w="627" w:type="dxa"/>
            <w:tcBorders>
              <w:top w:val="single" w:color="auto" w:sz="12"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1</w:t>
            </w:r>
          </w:p>
        </w:tc>
        <w:tc>
          <w:tcPr>
            <w:tcW w:w="1096" w:type="dxa"/>
            <w:tcBorders>
              <w:top w:val="single" w:color="auto" w:sz="12"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color w:val="auto"/>
                <w:sz w:val="32"/>
                <w:szCs w:val="32"/>
                <w:highlight w:val="none"/>
              </w:rPr>
              <w:t>技术参数要求响应程度</w:t>
            </w:r>
          </w:p>
        </w:tc>
        <w:tc>
          <w:tcPr>
            <w:tcW w:w="699" w:type="dxa"/>
            <w:tcBorders>
              <w:top w:val="single" w:color="auto" w:sz="12"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5分</w:t>
            </w:r>
          </w:p>
        </w:tc>
        <w:tc>
          <w:tcPr>
            <w:tcW w:w="6035" w:type="dxa"/>
            <w:tcBorders>
              <w:top w:val="single" w:color="auto" w:sz="12" w:space="0"/>
              <w:left w:val="single" w:color="auto" w:sz="6" w:space="0"/>
              <w:bottom w:val="single" w:color="auto" w:sz="6" w:space="0"/>
              <w:right w:val="single" w:color="auto" w:sz="12" w:space="0"/>
            </w:tcBorders>
            <w:noWrap w:val="0"/>
            <w:vAlign w:val="center"/>
          </w:tcPr>
          <w:p>
            <w:pPr>
              <w:widowControl/>
              <w:spacing w:line="400" w:lineRule="exact"/>
              <w:ind w:firstLine="640" w:firstLineChars="200"/>
              <w:rPr>
                <w:rFonts w:hint="eastAsia" w:ascii="仿宋" w:hAnsi="仿宋" w:eastAsia="仿宋" w:cs="仿宋"/>
                <w:color w:val="auto"/>
                <w:sz w:val="32"/>
                <w:szCs w:val="32"/>
                <w:highlight w:val="none"/>
              </w:rPr>
            </w:pPr>
            <w:r>
              <w:rPr>
                <w:rFonts w:ascii="仿宋" w:hAnsi="仿宋" w:eastAsia="仿宋" w:cs="Calibri"/>
                <w:color w:val="auto"/>
                <w:sz w:val="32"/>
                <w:szCs w:val="32"/>
                <w:highlight w:val="none"/>
              </w:rPr>
              <w:t>①</w:t>
            </w:r>
            <w:r>
              <w:rPr>
                <w:rFonts w:hint="eastAsia" w:ascii="仿宋" w:hAnsi="仿宋" w:eastAsia="仿宋" w:cs="仿宋"/>
                <w:color w:val="auto"/>
                <w:sz w:val="32"/>
                <w:szCs w:val="32"/>
                <w:highlight w:val="none"/>
              </w:rPr>
              <w:t>完全满足技术参数要求的，得5分；</w:t>
            </w:r>
          </w:p>
          <w:p>
            <w:pPr>
              <w:widowControl/>
              <w:spacing w:line="400" w:lineRule="exact"/>
              <w:ind w:firstLine="640" w:firstLineChars="200"/>
              <w:rPr>
                <w:rFonts w:hint="eastAsia" w:ascii="仿宋" w:hAnsi="仿宋" w:eastAsia="仿宋" w:cs="仿宋"/>
                <w:color w:val="auto"/>
                <w:sz w:val="32"/>
                <w:szCs w:val="32"/>
                <w:highlight w:val="none"/>
              </w:rPr>
            </w:pPr>
            <w:r>
              <w:rPr>
                <w:rFonts w:ascii="仿宋" w:hAnsi="仿宋" w:eastAsia="仿宋" w:cs="Calibri"/>
                <w:color w:val="auto"/>
                <w:sz w:val="32"/>
                <w:szCs w:val="32"/>
                <w:highlight w:val="none"/>
              </w:rPr>
              <w:t>②</w:t>
            </w:r>
            <w:r>
              <w:rPr>
                <w:rFonts w:hint="eastAsia" w:ascii="仿宋" w:hAnsi="仿宋" w:eastAsia="仿宋" w:cs="仿宋"/>
                <w:color w:val="auto"/>
                <w:sz w:val="32"/>
                <w:szCs w:val="32"/>
                <w:highlight w:val="none"/>
              </w:rPr>
              <w:t>技术参数要求有负偏离的，不得分。</w:t>
            </w:r>
          </w:p>
          <w:p>
            <w:pPr>
              <w:widowControl/>
              <w:spacing w:line="4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提供近一年有检测资质的第三方检测报告为准。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9" w:hRule="atLeast"/>
        </w:trPr>
        <w:tc>
          <w:tcPr>
            <w:tcW w:w="627"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2</w:t>
            </w:r>
          </w:p>
        </w:tc>
        <w:tc>
          <w:tcPr>
            <w:tcW w:w="1096"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投标货物的技术质量水平和用途符合性</w:t>
            </w:r>
          </w:p>
        </w:tc>
        <w:tc>
          <w:tcPr>
            <w:tcW w:w="699"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10分</w:t>
            </w:r>
          </w:p>
        </w:tc>
        <w:tc>
          <w:tcPr>
            <w:tcW w:w="6035" w:type="dxa"/>
            <w:tcBorders>
              <w:top w:val="single" w:color="auto" w:sz="6" w:space="0"/>
              <w:left w:val="single" w:color="auto" w:sz="6" w:space="0"/>
              <w:bottom w:val="single" w:color="auto" w:sz="6" w:space="0"/>
              <w:right w:val="single" w:color="auto" w:sz="12" w:space="0"/>
            </w:tcBorders>
            <w:noWrap w:val="0"/>
            <w:vAlign w:val="center"/>
          </w:tcPr>
          <w:p>
            <w:pPr>
              <w:widowControl/>
              <w:spacing w:line="400" w:lineRule="exact"/>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kern w:val="0"/>
                <w:sz w:val="32"/>
                <w:szCs w:val="32"/>
                <w:highlight w:val="none"/>
              </w:rPr>
              <w:t>投标人提供所投产品经第三方使用，由具有国家农业农村部认定农药试验资质的单位提供现场药效评估报告进行评分：</w:t>
            </w:r>
          </w:p>
          <w:p>
            <w:pPr>
              <w:snapToGrid w:val="0"/>
              <w:spacing w:line="400" w:lineRule="exact"/>
              <w:ind w:right="31" w:firstLine="480" w:firstLineChars="150"/>
              <w:rPr>
                <w:rFonts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1.一次投药，活动蚁巢灭效达90%以上，得10分；</w:t>
            </w:r>
          </w:p>
          <w:p>
            <w:pPr>
              <w:snapToGrid w:val="0"/>
              <w:spacing w:line="400" w:lineRule="exact"/>
              <w:ind w:right="31" w:firstLine="480" w:firstLineChars="150"/>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2.一次投药，活动蚁巢灭效达85%-90%，得8分；</w:t>
            </w:r>
          </w:p>
          <w:p>
            <w:pPr>
              <w:snapToGrid w:val="0"/>
              <w:spacing w:line="400" w:lineRule="exact"/>
              <w:ind w:right="31" w:firstLine="480" w:firstLineChars="150"/>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3.一次投药，活动蚁巢灭效达80%-85%，得5分；</w:t>
            </w:r>
          </w:p>
          <w:p>
            <w:pPr>
              <w:snapToGrid w:val="0"/>
              <w:spacing w:line="400" w:lineRule="exact"/>
              <w:ind w:right="31" w:firstLine="480" w:firstLineChars="150"/>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4.一次投药，活动蚁巢灭效达70%-80%，得3分；</w:t>
            </w:r>
          </w:p>
          <w:p>
            <w:pPr>
              <w:snapToGrid w:val="0"/>
              <w:spacing w:line="400" w:lineRule="exact"/>
              <w:ind w:right="31" w:firstLine="480" w:firstLineChars="150"/>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5.一次投药，活动蚁巢灭效达70%以下，不得分；</w:t>
            </w:r>
          </w:p>
          <w:p>
            <w:pPr>
              <w:widowControl/>
              <w:tabs>
                <w:tab w:val="left" w:pos="360"/>
              </w:tabs>
              <w:spacing w:line="400" w:lineRule="exact"/>
              <w:rPr>
                <w:rFonts w:hint="eastAsia" w:ascii="仿宋" w:hAnsi="仿宋" w:eastAsia="仿宋" w:cs="仿宋"/>
                <w:bCs/>
                <w:color w:val="auto"/>
                <w:sz w:val="32"/>
                <w:szCs w:val="32"/>
                <w:highlight w:val="none"/>
              </w:rPr>
            </w:pPr>
            <w:r>
              <w:rPr>
                <w:rFonts w:hint="eastAsia" w:ascii="仿宋" w:hAnsi="仿宋" w:eastAsia="仿宋" w:cs="仿宋"/>
                <w:bCs/>
                <w:color w:val="auto"/>
                <w:kern w:val="0"/>
                <w:sz w:val="32"/>
                <w:szCs w:val="32"/>
                <w:highlight w:val="none"/>
              </w:rPr>
              <w:t>(药效评估单位须提供农药试验资质并盖有药效评估单位公章。未提供不得分)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9" w:hRule="atLeast"/>
        </w:trPr>
        <w:tc>
          <w:tcPr>
            <w:tcW w:w="627"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3</w:t>
            </w:r>
          </w:p>
        </w:tc>
        <w:tc>
          <w:tcPr>
            <w:tcW w:w="1096"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color w:val="auto"/>
                <w:kern w:val="0"/>
                <w:sz w:val="32"/>
                <w:szCs w:val="32"/>
                <w:highlight w:val="none"/>
              </w:rPr>
              <w:t>拟投入本项目的人员情况</w:t>
            </w:r>
          </w:p>
        </w:tc>
        <w:tc>
          <w:tcPr>
            <w:tcW w:w="699"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5分</w:t>
            </w:r>
          </w:p>
        </w:tc>
        <w:tc>
          <w:tcPr>
            <w:tcW w:w="6035" w:type="dxa"/>
            <w:tcBorders>
              <w:top w:val="single" w:color="auto" w:sz="6" w:space="0"/>
              <w:left w:val="single" w:color="auto" w:sz="6" w:space="0"/>
              <w:bottom w:val="single" w:color="auto" w:sz="6" w:space="0"/>
              <w:right w:val="single" w:color="auto" w:sz="12" w:space="0"/>
            </w:tcBorders>
            <w:noWrap w:val="0"/>
            <w:vAlign w:val="center"/>
          </w:tcPr>
          <w:p>
            <w:pPr>
              <w:spacing w:line="400" w:lineRule="exact"/>
              <w:ind w:firstLine="640" w:firstLineChars="200"/>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根据投标人针对本项目拟派投入的技术人员中，每提供一名具有中级农艺师及以上职称得3分，每提供一名具有植保专业本科毕业证书得1分，满分5分。</w:t>
            </w:r>
          </w:p>
          <w:p>
            <w:pPr>
              <w:widowControl/>
              <w:spacing w:line="400" w:lineRule="exact"/>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注：需提供职称证书以及上述人员近半年内在投标人单位购买社保的复印件，不提供、提供不全或专家无法认定的不得分。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07" w:hRule="atLeast"/>
        </w:trPr>
        <w:tc>
          <w:tcPr>
            <w:tcW w:w="627"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4</w:t>
            </w:r>
          </w:p>
        </w:tc>
        <w:tc>
          <w:tcPr>
            <w:tcW w:w="1096" w:type="dxa"/>
            <w:tcBorders>
              <w:top w:val="single" w:color="auto" w:sz="6" w:space="0"/>
              <w:left w:val="single" w:color="auto" w:sz="6" w:space="0"/>
              <w:bottom w:val="single" w:color="auto" w:sz="6" w:space="0"/>
              <w:right w:val="single" w:color="auto" w:sz="6" w:space="0"/>
            </w:tcBorders>
            <w:noWrap w:val="0"/>
            <w:vAlign w:val="center"/>
          </w:tcPr>
          <w:p>
            <w:pPr>
              <w:widowControl/>
              <w:spacing w:line="4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zh-TW"/>
              </w:rPr>
              <w:t>质保方案</w:t>
            </w:r>
          </w:p>
        </w:tc>
        <w:tc>
          <w:tcPr>
            <w:tcW w:w="699"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10分</w:t>
            </w:r>
          </w:p>
        </w:tc>
        <w:tc>
          <w:tcPr>
            <w:tcW w:w="6035" w:type="dxa"/>
            <w:tcBorders>
              <w:top w:val="single" w:color="auto" w:sz="6" w:space="0"/>
              <w:left w:val="single" w:color="auto" w:sz="6" w:space="0"/>
              <w:bottom w:val="single" w:color="auto" w:sz="6" w:space="0"/>
              <w:right w:val="single" w:color="auto" w:sz="12" w:space="0"/>
            </w:tcBorders>
            <w:noWrap w:val="0"/>
            <w:vAlign w:val="center"/>
          </w:tcPr>
          <w:p>
            <w:pPr>
              <w:pStyle w:val="2"/>
              <w:spacing w:line="400" w:lineRule="exact"/>
              <w:ind w:firstLine="640" w:firstLineChars="200"/>
              <w:jc w:val="left"/>
              <w:rPr>
                <w:rFonts w:hint="eastAsia" w:ascii="仿宋" w:hAnsi="仿宋" w:eastAsia="仿宋" w:cs="仿宋"/>
                <w:bCs/>
                <w:color w:val="auto"/>
                <w:sz w:val="32"/>
                <w:szCs w:val="32"/>
                <w:highlight w:val="none"/>
                <w:lang w:val="en-US" w:eastAsia="zh-CN"/>
              </w:rPr>
            </w:pPr>
            <w:r>
              <w:rPr>
                <w:rFonts w:hint="eastAsia" w:ascii="仿宋" w:hAnsi="仿宋" w:eastAsia="仿宋" w:cs="仿宋"/>
                <w:color w:val="auto"/>
                <w:sz w:val="32"/>
                <w:szCs w:val="32"/>
                <w:highlight w:val="none"/>
                <w:lang w:val="zh-TW" w:eastAsia="zh-CN"/>
              </w:rPr>
              <w:t>根据投标人提供的质保方案（包括产品质量、产品质量管理、质量管理人员配备、因质量问题造成事故的责任承担赔偿等）进行评分</w:t>
            </w:r>
            <w:r>
              <w:rPr>
                <w:rFonts w:hint="eastAsia" w:ascii="仿宋" w:hAnsi="仿宋" w:eastAsia="仿宋" w:cs="仿宋"/>
                <w:bCs/>
                <w:color w:val="auto"/>
                <w:kern w:val="0"/>
                <w:sz w:val="32"/>
                <w:szCs w:val="32"/>
                <w:highlight w:val="none"/>
                <w:lang w:val="en-US" w:eastAsia="zh-CN"/>
              </w:rPr>
              <w:t>，优（10-7分），良（6-4分），中（3-2），差（0-1分），未提供的不得分。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07" w:hRule="atLeast"/>
        </w:trPr>
        <w:tc>
          <w:tcPr>
            <w:tcW w:w="627" w:type="dxa"/>
            <w:tcBorders>
              <w:top w:val="single" w:color="auto" w:sz="6" w:space="0"/>
              <w:left w:val="single" w:color="auto" w:sz="12"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5</w:t>
            </w:r>
          </w:p>
        </w:tc>
        <w:tc>
          <w:tcPr>
            <w:tcW w:w="1096" w:type="dxa"/>
            <w:tcBorders>
              <w:top w:val="single" w:color="auto" w:sz="6" w:space="0"/>
              <w:left w:val="single" w:color="auto" w:sz="6" w:space="0"/>
              <w:bottom w:val="single" w:color="auto" w:sz="6" w:space="0"/>
              <w:right w:val="single" w:color="auto" w:sz="6" w:space="0"/>
            </w:tcBorders>
            <w:noWrap w:val="0"/>
            <w:vAlign w:val="center"/>
          </w:tcPr>
          <w:p>
            <w:pPr>
              <w:widowControl/>
              <w:spacing w:line="400" w:lineRule="exact"/>
              <w:jc w:val="center"/>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服务方案</w:t>
            </w:r>
          </w:p>
        </w:tc>
        <w:tc>
          <w:tcPr>
            <w:tcW w:w="699" w:type="dxa"/>
            <w:tcBorders>
              <w:top w:val="single" w:color="auto" w:sz="6" w:space="0"/>
              <w:left w:val="single" w:color="auto" w:sz="6" w:space="0"/>
              <w:bottom w:val="single" w:color="auto" w:sz="6" w:space="0"/>
              <w:right w:val="single" w:color="auto" w:sz="6"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5分</w:t>
            </w:r>
          </w:p>
        </w:tc>
        <w:tc>
          <w:tcPr>
            <w:tcW w:w="6035" w:type="dxa"/>
            <w:tcBorders>
              <w:top w:val="single" w:color="auto" w:sz="6" w:space="0"/>
              <w:left w:val="single" w:color="auto" w:sz="6" w:space="0"/>
              <w:bottom w:val="single" w:color="auto" w:sz="6" w:space="0"/>
              <w:right w:val="single" w:color="auto" w:sz="12" w:space="0"/>
            </w:tcBorders>
            <w:noWrap w:val="0"/>
            <w:vAlign w:val="center"/>
          </w:tcPr>
          <w:p>
            <w:pPr>
              <w:widowControl/>
              <w:spacing w:line="400" w:lineRule="exact"/>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kern w:val="0"/>
                <w:sz w:val="32"/>
                <w:szCs w:val="32"/>
                <w:highlight w:val="none"/>
              </w:rPr>
              <w:t>横向对比各投标人的实施方案，要求方案科学详尽，可操作性强。根据服务便利性和投标人提供的服务承诺横向比较评分：优（5-4分），中（3-2），差（1-0分），未提供的不得分。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trPr>
        <w:tc>
          <w:tcPr>
            <w:tcW w:w="8457" w:type="dxa"/>
            <w:gridSpan w:val="4"/>
            <w:tcBorders>
              <w:top w:val="single" w:color="auto" w:sz="6" w:space="0"/>
              <w:left w:val="single" w:color="auto" w:sz="12" w:space="0"/>
              <w:bottom w:val="single" w:color="auto" w:sz="12" w:space="0"/>
              <w:right w:val="single" w:color="auto" w:sz="12" w:space="0"/>
            </w:tcBorders>
            <w:noWrap w:val="0"/>
            <w:vAlign w:val="center"/>
          </w:tcPr>
          <w:p>
            <w:pPr>
              <w:spacing w:line="400" w:lineRule="exact"/>
              <w:jc w:val="center"/>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合计：35分</w:t>
            </w:r>
          </w:p>
        </w:tc>
      </w:tr>
    </w:tbl>
    <w:p>
      <w:pPr>
        <w:tabs>
          <w:tab w:val="left" w:pos="0"/>
        </w:tabs>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3.价格评分（30分）：</w:t>
      </w:r>
    </w:p>
    <w:p>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价格分统一采用低价优先法计算，即满足招标文件要求的各投标单价中取最低的为评标基准单价，其价格分为满分。价格分计算公式：</w:t>
      </w:r>
    </w:p>
    <w:p>
      <w:pPr>
        <w:adjustRightInd w:val="0"/>
        <w:snapToGrid w:val="0"/>
        <w:ind w:firstLine="643" w:firstLineChars="20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价格得分=【评标基准单价／投标单价】×价格权值×100</w:t>
      </w:r>
    </w:p>
    <w:p>
      <w:pPr>
        <w:ind w:firstLine="1920" w:firstLineChars="600"/>
        <w:rPr>
          <w:rFonts w:ascii="仿宋" w:hAnsi="仿宋" w:eastAsia="仿宋" w:cs="仿宋"/>
          <w:color w:val="auto"/>
          <w:sz w:val="32"/>
          <w:szCs w:val="32"/>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1MWY1NmUzNmI1ZjkxNWYyMDYwNGExZDNhYTFlNzEifQ=="/>
  </w:docVars>
  <w:rsids>
    <w:rsidRoot w:val="666858C1"/>
    <w:rsid w:val="66685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2024-06-28T06:57:00Z</dcterms:created>
  <dc:creator>(눈_눈)</dc:creator>
  <cp:lastModifiedBy>(눈_눈)</cp:lastModifiedBy>
  <dcterms:modified xsi:type="dcterms:W3CDTF">2024-06-28T06:58:08Z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28493967DB6F412496CA797698644120_11</vt:lpwstr>
  </property>
</Properties>
</file>