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sz w:val="28"/>
          <w:szCs w:val="36"/>
          <w:lang w:val="en-US" w:eastAsia="zh-CN"/>
        </w:rPr>
      </w:pPr>
      <w:r>
        <w:rPr>
          <w:rFonts w:hint="eastAsia"/>
          <w:sz w:val="28"/>
          <w:szCs w:val="36"/>
          <w:lang w:eastAsia="zh-CN"/>
        </w:rPr>
        <w:t>附件</w:t>
      </w:r>
      <w:r>
        <w:rPr>
          <w:rFonts w:hint="eastAsia"/>
          <w:sz w:val="28"/>
          <w:szCs w:val="36"/>
          <w:lang w:val="en-US" w:eastAsia="zh-CN"/>
        </w:rPr>
        <w:t>2</w:t>
      </w:r>
    </w:p>
    <w:p>
      <w:pPr>
        <w:jc w:val="center"/>
        <w:rPr>
          <w:rFonts w:hint="eastAsia" w:ascii="黑体" w:hAnsi="黑体" w:eastAsia="黑体" w:cs="黑体"/>
          <w:b/>
          <w:bCs/>
          <w:sz w:val="36"/>
          <w:szCs w:val="44"/>
          <w:lang w:val="en-US" w:eastAsia="zh-CN"/>
        </w:rPr>
      </w:pPr>
      <w:r>
        <w:rPr>
          <w:rFonts w:hint="eastAsia" w:ascii="黑体" w:hAnsi="黑体" w:eastAsia="黑体" w:cs="黑体"/>
          <w:b/>
          <w:bCs/>
          <w:sz w:val="36"/>
          <w:szCs w:val="44"/>
          <w:lang w:val="en-US" w:eastAsia="zh-CN"/>
        </w:rPr>
        <w:t>2024年开平市农产品质量监督检测站</w:t>
      </w:r>
    </w:p>
    <w:p>
      <w:pPr>
        <w:jc w:val="center"/>
        <w:rPr>
          <w:rFonts w:hint="eastAsia" w:ascii="黑体" w:hAnsi="黑体" w:eastAsia="黑体" w:cs="黑体"/>
          <w:b/>
          <w:bCs/>
          <w:sz w:val="36"/>
          <w:szCs w:val="44"/>
          <w:lang w:val="en-US" w:eastAsia="zh-CN"/>
        </w:rPr>
      </w:pPr>
      <w:r>
        <w:rPr>
          <w:rFonts w:hint="eastAsia" w:ascii="黑体" w:hAnsi="黑体" w:eastAsia="黑体" w:cs="黑体"/>
          <w:b/>
          <w:bCs/>
          <w:sz w:val="36"/>
          <w:szCs w:val="44"/>
          <w:lang w:val="en-US" w:eastAsia="zh-CN"/>
        </w:rPr>
        <w:t>实验室试剂耗材采购项目评审方案</w:t>
      </w:r>
    </w:p>
    <w:p>
      <w:pPr>
        <w:jc w:val="center"/>
        <w:rPr>
          <w:rFonts w:hint="eastAsia"/>
          <w:sz w:val="36"/>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一、评审小组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成立项目评审小组，对投标人的标书进行开标、审查，评出中标单位。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1、根据招标采购产品和服务的特点依法组建评审小组，其成员由采购人代表和行业专家组成。评审小组按照招标文件确定的评标标准和方法，对投标文件进行评审和比较。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2、开标后，采购单位将组织评审小组审查投标文件是否完整；资格证明文件是否齐全；是否有计算错误；投标文件签署是否合格、投标文件的编排是否有序。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3、评审小组只对被确定为实质上响应招标文件要求的投标文件进行评估和比较。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4、评审小组将综合分析投标人的各项指标，而不以单项指标的优劣评选出中标位。对所有投标人的投标评估，都采用相同的程序和标准。评审小组按照招标文件确定的评标标准和方法对投标文件进行评审和比较。评审小组在综合评比后最后做出评标结论。</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sz w:val="28"/>
          <w:szCs w:val="36"/>
          <w:lang w:val="en-US" w:eastAsia="zh-CN"/>
        </w:rPr>
      </w:pPr>
      <w:r>
        <w:rPr>
          <w:rFonts w:hint="eastAsia"/>
          <w:sz w:val="28"/>
          <w:szCs w:val="36"/>
          <w:lang w:val="en-US" w:eastAsia="zh-CN"/>
        </w:rPr>
        <w:t>二、评审方式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召开现场评审会，对投标人的标书进行现场开标、评审，确定中标单位。</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如果发现下列情况之一的，其投标将被拒绝而作为无效投标处理: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1、投标人以他人名义投标、串通投标、以行贿手段谋取中标或以其他弄虚作假方式投标的;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2、投标人以低于成本报价竞标的;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3、投标报价超出本项目的最高限价的;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4、投标人资格条件不符合国家有关规定和招标文件要求的，或者拒不按照要求对投标文件进行澄清、说明或补正的;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5、投标文件未按照招标文件规定要求签署、盖章的;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6、投标文件签字人无有效委托的;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7、投标文件中附有采购人和采购代理机构不能接受的条件或不符合招标文件中规定的其他实质性要求的。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三、评审项目及控制价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eastAsia="宋体"/>
          <w:sz w:val="28"/>
          <w:szCs w:val="36"/>
          <w:lang w:val="en-US" w:eastAsia="zh-CN"/>
        </w:rPr>
      </w:pPr>
      <w:r>
        <w:rPr>
          <w:rFonts w:hint="eastAsia"/>
          <w:sz w:val="28"/>
          <w:szCs w:val="36"/>
          <w:lang w:val="en-US" w:eastAsia="zh-CN"/>
        </w:rPr>
        <w:t>开平市农产品质量监督检测站实验室试剂耗材采购项目，控制价为19万元。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四、评审程序及标准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（一）初步评审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对投标人资格性符合进行评审（见表1），通过后进行综合评审。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rPr>
          <w:rFonts w:ascii="仿宋" w:hAnsi="仿宋" w:eastAsia="仿宋" w:cs="Times New Roman"/>
          <w:sz w:val="32"/>
          <w:szCs w:val="32"/>
        </w:rPr>
      </w:pPr>
      <w:r>
        <w:rPr>
          <w:rFonts w:hint="eastAsia" w:ascii="仿宋" w:hAnsi="仿宋" w:eastAsia="仿宋" w:cs="仿宋_GB2312"/>
          <w:sz w:val="32"/>
          <w:szCs w:val="32"/>
        </w:rPr>
        <w:t>表</w:t>
      </w:r>
      <w:r>
        <w:rPr>
          <w:rFonts w:ascii="仿宋" w:hAnsi="仿宋" w:eastAsia="仿宋" w:cs="仿宋_GB2312"/>
          <w:sz w:val="32"/>
          <w:szCs w:val="32"/>
        </w:rPr>
        <w:t>1</w:t>
      </w:r>
      <w:r>
        <w:rPr>
          <w:rFonts w:hint="eastAsia" w:ascii="仿宋" w:hAnsi="仿宋" w:eastAsia="仿宋" w:cs="仿宋_GB2312"/>
          <w:sz w:val="32"/>
          <w:szCs w:val="32"/>
        </w:rPr>
        <w:t>：资格性评审表</w:t>
      </w:r>
    </w:p>
    <w:tbl>
      <w:tblPr>
        <w:tblStyle w:val="2"/>
        <w:tblW w:w="90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450"/>
        <w:gridCol w:w="1450"/>
        <w:gridCol w:w="1450"/>
        <w:gridCol w:w="1450"/>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2" w:hRule="atLeast"/>
        </w:trPr>
        <w:tc>
          <w:tcPr>
            <w:tcW w:w="1809" w:type="dxa"/>
            <w:tcBorders>
              <w:tl2br w:val="single" w:color="auto" w:sz="4" w:space="0"/>
            </w:tcBorders>
            <w:vAlign w:val="center"/>
          </w:tcPr>
          <w:p>
            <w:pPr>
              <w:ind w:firstLine="720" w:firstLineChars="300"/>
              <w:jc w:val="center"/>
              <w:rPr>
                <w:rFonts w:ascii="仿宋" w:hAnsi="仿宋" w:eastAsia="仿宋" w:cs="Times New Roman"/>
                <w:sz w:val="24"/>
                <w:szCs w:val="24"/>
              </w:rPr>
            </w:pPr>
          </w:p>
          <w:p>
            <w:pPr>
              <w:ind w:firstLine="720" w:firstLineChars="300"/>
              <w:jc w:val="center"/>
              <w:rPr>
                <w:rFonts w:ascii="仿宋" w:hAnsi="仿宋" w:eastAsia="仿宋" w:cs="Times New Roman"/>
                <w:sz w:val="24"/>
                <w:szCs w:val="24"/>
              </w:rPr>
            </w:pPr>
            <w:r>
              <w:rPr>
                <w:rFonts w:hint="eastAsia" w:ascii="仿宋" w:hAnsi="仿宋" w:eastAsia="仿宋" w:cs="仿宋_GB2312"/>
                <w:sz w:val="24"/>
                <w:szCs w:val="24"/>
              </w:rPr>
              <w:t>投标人</w:t>
            </w:r>
          </w:p>
          <w:p>
            <w:pPr>
              <w:ind w:firstLine="720" w:firstLineChars="300"/>
              <w:jc w:val="center"/>
              <w:rPr>
                <w:rFonts w:ascii="仿宋" w:hAnsi="仿宋" w:eastAsia="仿宋" w:cs="Times New Roman"/>
                <w:sz w:val="24"/>
                <w:szCs w:val="24"/>
              </w:rPr>
            </w:pPr>
          </w:p>
          <w:p>
            <w:pPr>
              <w:ind w:firstLine="360" w:firstLineChars="150"/>
              <w:rPr>
                <w:rFonts w:ascii="仿宋_GB2312" w:eastAsia="仿宋_GB2312" w:cs="Times New Roman"/>
                <w:sz w:val="24"/>
                <w:szCs w:val="24"/>
              </w:rPr>
            </w:pPr>
            <w:r>
              <w:rPr>
                <w:rFonts w:hint="eastAsia" w:ascii="仿宋" w:hAnsi="仿宋" w:eastAsia="仿宋" w:cs="仿宋_GB2312"/>
                <w:sz w:val="24"/>
                <w:szCs w:val="24"/>
              </w:rPr>
              <w:t>项目</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8" w:hRule="atLeast"/>
        </w:trPr>
        <w:tc>
          <w:tcPr>
            <w:tcW w:w="1809" w:type="dxa"/>
            <w:vAlign w:val="center"/>
          </w:tcPr>
          <w:p>
            <w:pPr>
              <w:jc w:val="center"/>
              <w:rPr>
                <w:rFonts w:hint="eastAsia" w:ascii="仿宋" w:hAnsi="仿宋" w:eastAsia="仿宋" w:cs="Times New Roman"/>
                <w:sz w:val="24"/>
                <w:szCs w:val="24"/>
                <w:lang w:val="en-US" w:eastAsia="zh-CN"/>
              </w:rPr>
            </w:pPr>
            <w:r>
              <w:rPr>
                <w:rFonts w:hint="eastAsia" w:ascii="仿宋" w:hAnsi="仿宋" w:eastAsia="仿宋" w:cs="仿宋_GB2312"/>
                <w:sz w:val="24"/>
                <w:szCs w:val="24"/>
              </w:rPr>
              <w:t>投标人应当是具有合法经营资格的法人</w:t>
            </w:r>
            <w:r>
              <w:rPr>
                <w:rFonts w:hint="eastAsia" w:ascii="仿宋" w:hAnsi="仿宋" w:eastAsia="仿宋" w:cs="仿宋_GB2312"/>
                <w:sz w:val="24"/>
                <w:szCs w:val="24"/>
                <w:lang w:eastAsia="zh-CN"/>
              </w:rPr>
              <w:t>（须满足以</w:t>
            </w:r>
            <w:r>
              <w:rPr>
                <w:rFonts w:hint="eastAsia" w:ascii="仿宋" w:hAnsi="仿宋" w:eastAsia="仿宋" w:cs="仿宋_GB2312"/>
                <w:color w:val="auto"/>
                <w:sz w:val="24"/>
                <w:szCs w:val="24"/>
                <w:lang w:eastAsia="zh-CN"/>
              </w:rPr>
              <w:t>下要</w:t>
            </w:r>
            <w:r>
              <w:rPr>
                <w:rFonts w:hint="eastAsia" w:ascii="仿宋" w:hAnsi="仿宋" w:eastAsia="仿宋" w:cs="仿宋_GB2312"/>
                <w:color w:val="auto"/>
                <w:sz w:val="24"/>
                <w:szCs w:val="24"/>
                <w:highlight w:val="none"/>
                <w:lang w:eastAsia="zh-CN"/>
              </w:rPr>
              <w:t>求：提供危险化学品经营许可证及非药品类易制毒化学品经营备案证明（第二类、第三类）、易制爆危险化学品从业单位备案证明。（易制毒：丙酮；易制爆：硼氢化钾；危化品：乙酸乙酯。）</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参加政府采购活动前三年内，在经营活动中没有重大违法记录</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投标人的投标报价不得高于控制价</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授权、签名、盖章符合相关规定</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jc w:val="center"/>
              <w:rPr>
                <w:rFonts w:ascii="仿宋" w:hAnsi="仿宋" w:eastAsia="仿宋" w:cs="Times New Roman"/>
                <w:sz w:val="24"/>
                <w:szCs w:val="24"/>
              </w:rPr>
            </w:pPr>
            <w:r>
              <w:rPr>
                <w:rFonts w:hint="eastAsia" w:ascii="仿宋" w:hAnsi="仿宋" w:eastAsia="仿宋" w:cs="仿宋_GB2312"/>
                <w:sz w:val="24"/>
                <w:szCs w:val="24"/>
              </w:rPr>
              <w:t>本项目不接受联合体投标</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809" w:type="dxa"/>
            <w:vAlign w:val="center"/>
          </w:tcPr>
          <w:p>
            <w:pPr>
              <w:jc w:val="center"/>
              <w:rPr>
                <w:rFonts w:ascii="仿宋_GB2312" w:eastAsia="仿宋_GB2312" w:cs="Times New Roman"/>
                <w:sz w:val="24"/>
                <w:szCs w:val="24"/>
              </w:rPr>
            </w:pPr>
            <w:r>
              <w:rPr>
                <w:rFonts w:hint="eastAsia" w:ascii="仿宋_GB2312" w:eastAsia="仿宋_GB2312" w:cs="仿宋_GB2312"/>
                <w:sz w:val="24"/>
                <w:szCs w:val="24"/>
              </w:rPr>
              <w:t>是否通过</w:t>
            </w: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0" w:type="dxa"/>
            <w:vAlign w:val="center"/>
          </w:tcPr>
          <w:p>
            <w:pPr>
              <w:jc w:val="center"/>
              <w:rPr>
                <w:rFonts w:ascii="仿宋_GB2312" w:eastAsia="仿宋_GB2312" w:cs="Times New Roman"/>
                <w:sz w:val="24"/>
                <w:szCs w:val="24"/>
              </w:rPr>
            </w:pPr>
          </w:p>
        </w:tc>
        <w:tc>
          <w:tcPr>
            <w:tcW w:w="1451" w:type="dxa"/>
            <w:vAlign w:val="center"/>
          </w:tcPr>
          <w:p>
            <w:pPr>
              <w:jc w:val="center"/>
              <w:rPr>
                <w:rFonts w:ascii="仿宋_GB2312" w:eastAsia="仿宋_GB2312" w:cs="Times New Roman"/>
                <w:sz w:val="24"/>
                <w:szCs w:val="24"/>
              </w:rPr>
            </w:pPr>
          </w:p>
        </w:tc>
      </w:tr>
    </w:tbl>
    <w:p>
      <w:pPr>
        <w:ind w:firstLine="480" w:firstLineChars="200"/>
        <w:rPr>
          <w:rFonts w:ascii="仿宋" w:hAnsi="仿宋" w:eastAsia="仿宋" w:cs="仿宋_GB2312"/>
          <w:sz w:val="24"/>
          <w:szCs w:val="24"/>
        </w:rPr>
      </w:pPr>
      <w:r>
        <w:rPr>
          <w:rFonts w:hint="eastAsia" w:ascii="仿宋" w:hAnsi="仿宋" w:eastAsia="仿宋" w:cs="仿宋_GB2312"/>
          <w:sz w:val="24"/>
          <w:szCs w:val="24"/>
        </w:rPr>
        <w:t>备注：在表格中单项响应标志为“√”，不响应标志为“×”。全部响应填“通过”；有一个不响应填“不通过”，不能进入评分阶段。</w:t>
      </w:r>
    </w:p>
    <w:p>
      <w:pPr>
        <w:rPr>
          <w:rFonts w:hint="eastAsia" w:ascii="仿宋" w:hAnsi="仿宋" w:eastAsia="仿宋" w:cs="仿宋_GB2312"/>
          <w:sz w:val="24"/>
          <w:szCs w:val="24"/>
        </w:rPr>
      </w:pPr>
      <w:r>
        <w:rPr>
          <w:rFonts w:hint="eastAsia" w:ascii="仿宋" w:hAnsi="仿宋" w:eastAsia="仿宋" w:cs="仿宋_GB2312"/>
          <w:sz w:val="24"/>
          <w:szCs w:val="24"/>
        </w:rPr>
        <w:t xml:space="preserve">评审人签名：                                           日期：  </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（二）综合评审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1、采用综合评分方法（评审标准见表2）。评标以招标文件规定的条件为原则，最低报价不作为中标的唯一依据，评审小组各成员根据评审办法并结合投标人实际情况分别就各项指标进行独立打分（见表3、4）。</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表2:评审标准</w:t>
      </w:r>
    </w:p>
    <w:tbl>
      <w:tblPr>
        <w:tblStyle w:val="2"/>
        <w:tblW w:w="9465" w:type="dxa"/>
        <w:tblInd w:w="-35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70"/>
        <w:gridCol w:w="1725"/>
        <w:gridCol w:w="62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b/>
                <w:bCs/>
                <w:kern w:val="2"/>
                <w:sz w:val="21"/>
                <w:szCs w:val="21"/>
                <w:lang w:val="en-US" w:eastAsia="zh-CN" w:bidi="zh-CN"/>
              </w:rPr>
            </w:pPr>
            <w:r>
              <w:rPr>
                <w:rFonts w:hint="eastAsia" w:ascii="宋体" w:hAnsi="宋体" w:eastAsia="宋体" w:cs="宋体"/>
                <w:b/>
                <w:bCs/>
                <w:kern w:val="2"/>
                <w:sz w:val="21"/>
                <w:szCs w:val="21"/>
                <w:lang w:val="en-US" w:eastAsia="zh-CN" w:bidi="zh-CN"/>
              </w:rPr>
              <w:t>评审因素</w:t>
            </w:r>
          </w:p>
        </w:tc>
        <w:tc>
          <w:tcPr>
            <w:tcW w:w="7995" w:type="dxa"/>
            <w:gridSpan w:val="2"/>
          </w:tcPr>
          <w:p>
            <w:pPr>
              <w:pStyle w:val="5"/>
              <w:spacing w:line="480" w:lineRule="exact"/>
              <w:jc w:val="center"/>
              <w:rPr>
                <w:rFonts w:hint="eastAsia" w:ascii="宋体" w:hAnsi="宋体" w:eastAsia="宋体" w:cs="宋体"/>
                <w:b/>
                <w:bCs/>
                <w:kern w:val="2"/>
                <w:sz w:val="21"/>
                <w:szCs w:val="21"/>
                <w:lang w:val="en-US" w:eastAsia="zh-CN" w:bidi="zh-CN"/>
              </w:rPr>
            </w:pPr>
            <w:r>
              <w:rPr>
                <w:rFonts w:hint="eastAsia" w:ascii="宋体" w:hAnsi="宋体" w:eastAsia="宋体" w:cs="宋体"/>
                <w:b/>
                <w:bCs/>
                <w:kern w:val="2"/>
                <w:sz w:val="21"/>
                <w:szCs w:val="21"/>
                <w:lang w:val="en-US" w:eastAsia="zh-CN" w:bidi="zh-CN"/>
              </w:rPr>
              <w:t>评审标准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分值构成</w:t>
            </w:r>
          </w:p>
        </w:tc>
        <w:tc>
          <w:tcPr>
            <w:tcW w:w="7995" w:type="dxa"/>
            <w:gridSpan w:val="2"/>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技术部分40.0分</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商务部分20.0分</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报价得分40.0分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560" w:hRule="atLeast"/>
        </w:trPr>
        <w:tc>
          <w:tcPr>
            <w:tcW w:w="1470" w:type="dxa"/>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技术部分</w:t>
            </w:r>
          </w:p>
        </w:tc>
        <w:tc>
          <w:tcPr>
            <w:tcW w:w="1725" w:type="dxa"/>
            <w:vAlign w:val="center"/>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技术条款</w:t>
            </w:r>
          </w:p>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响应(40分）</w:t>
            </w:r>
          </w:p>
        </w:tc>
        <w:tc>
          <w:tcPr>
            <w:tcW w:w="6270" w:type="dxa"/>
            <w:vAlign w:val="center"/>
          </w:tcPr>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对招标文件全部响应的，40分；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对招标文件有部分不响应的，每一项扣5分，扣完为止。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vMerge w:val="restart"/>
          </w:tcPr>
          <w:p>
            <w:pPr>
              <w:pStyle w:val="5"/>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商务部分</w:t>
            </w:r>
          </w:p>
        </w:tc>
        <w:tc>
          <w:tcPr>
            <w:tcW w:w="1725" w:type="dxa"/>
            <w:vAlign w:val="center"/>
          </w:tcPr>
          <w:p>
            <w:pPr>
              <w:pStyle w:val="5"/>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产品质量</w:t>
            </w:r>
          </w:p>
          <w:p>
            <w:pPr>
              <w:pStyle w:val="5"/>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保证、安全保障措施(6分）</w:t>
            </w:r>
          </w:p>
        </w:tc>
        <w:tc>
          <w:tcPr>
            <w:tcW w:w="6270" w:type="dxa"/>
          </w:tcPr>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1.本项目总体质量目标和实施方案（具体措施，可行性）；</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2.产品有效期（符合招标文件要求情况）；</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3.产品安全性保障；</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4.退换货服务措施。</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横向对比各投标人的实施方案，要求方案科学详尽，可操作性强，根据提供材料酌情给分：优6-5分，中4-3分，差2-0分。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vMerge w:val="continue"/>
          </w:tcPr>
          <w:p>
            <w:pPr>
              <w:pStyle w:val="5"/>
              <w:spacing w:line="480" w:lineRule="exact"/>
              <w:rPr>
                <w:rFonts w:hint="eastAsia" w:ascii="宋体" w:hAnsi="宋体" w:eastAsia="宋体" w:cs="宋体"/>
                <w:kern w:val="2"/>
                <w:sz w:val="21"/>
                <w:szCs w:val="21"/>
                <w:lang w:val="en-US" w:eastAsia="zh-CN" w:bidi="ar-SA"/>
              </w:rPr>
            </w:pPr>
          </w:p>
        </w:tc>
        <w:tc>
          <w:tcPr>
            <w:tcW w:w="1725" w:type="dxa"/>
            <w:vAlign w:val="center"/>
          </w:tcPr>
          <w:p>
            <w:pPr>
              <w:spacing w:line="480" w:lineRule="exact"/>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整体供货、配送方案（6分）</w:t>
            </w:r>
          </w:p>
        </w:tc>
        <w:tc>
          <w:tcPr>
            <w:tcW w:w="6270" w:type="dxa"/>
            <w:vAlign w:val="center"/>
          </w:tcPr>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1.对于采购人所需试剂耗材的备货方案；</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2.对于采购人需求的时间安排，包括紧急需求的响应方案；</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3.产品的配送、运输方案和应急措施；</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4.供货及售后服务点便利性。</w:t>
            </w:r>
          </w:p>
          <w:p>
            <w:pPr>
              <w:spacing w:line="480" w:lineRule="exact"/>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横向对比各投标人的实施方案，要求方案科学详尽，可操作性强，根据提供材料酌情给分：优6-5分，中4-3分，差2-0分。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298" w:hRule="atLeast"/>
        </w:trPr>
        <w:tc>
          <w:tcPr>
            <w:tcW w:w="1470" w:type="dxa"/>
            <w:vMerge w:val="continue"/>
          </w:tcPr>
          <w:p>
            <w:pPr>
              <w:pStyle w:val="5"/>
              <w:spacing w:line="480" w:lineRule="exact"/>
              <w:rPr>
                <w:rFonts w:hint="eastAsia" w:ascii="宋体" w:hAnsi="宋体" w:eastAsia="宋体" w:cs="宋体"/>
                <w:kern w:val="2"/>
                <w:sz w:val="21"/>
                <w:szCs w:val="21"/>
                <w:lang w:val="en-US" w:eastAsia="zh-CN" w:bidi="ar-SA"/>
              </w:rPr>
            </w:pPr>
          </w:p>
        </w:tc>
        <w:tc>
          <w:tcPr>
            <w:tcW w:w="1725" w:type="dxa"/>
            <w:vAlign w:val="center"/>
          </w:tcPr>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w:t>
            </w:r>
          </w:p>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渠道情况</w:t>
            </w:r>
          </w:p>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（8分）</w:t>
            </w:r>
          </w:p>
        </w:tc>
        <w:tc>
          <w:tcPr>
            <w:tcW w:w="6270" w:type="dxa"/>
            <w:vAlign w:val="center"/>
          </w:tcPr>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产品来源包含但不限于渠道、可溯源文件等进行评分：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产品来源渠道正规、可溯源，可确保产品质量，</w:t>
            </w:r>
            <w:r>
              <w:rPr>
                <w:rFonts w:hint="eastAsia" w:ascii="宋体" w:hAnsi="宋体" w:cs="宋体"/>
                <w:kern w:val="2"/>
                <w:sz w:val="21"/>
                <w:szCs w:val="21"/>
                <w:lang w:val="en-US" w:eastAsia="zh-CN" w:bidi="ar-SA"/>
              </w:rPr>
              <w:t>8</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产品来源渠道一般，但仍可确保产品质量，</w:t>
            </w:r>
            <w:r>
              <w:rPr>
                <w:rFonts w:hint="eastAsia" w:ascii="宋体" w:hAnsi="宋体" w:cs="宋体"/>
                <w:kern w:val="2"/>
                <w:sz w:val="21"/>
                <w:szCs w:val="21"/>
                <w:lang w:val="en-US" w:eastAsia="zh-CN" w:bidi="ar-SA"/>
              </w:rPr>
              <w:t>5</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产品来源渠道不明确，不能确保产品质量，</w:t>
            </w:r>
            <w:r>
              <w:rPr>
                <w:rFonts w:hint="eastAsia" w:ascii="宋体" w:hAnsi="宋体" w:cs="宋体"/>
                <w:kern w:val="2"/>
                <w:sz w:val="21"/>
                <w:szCs w:val="21"/>
                <w:lang w:val="en-US" w:eastAsia="zh-CN" w:bidi="ar-SA"/>
              </w:rPr>
              <w:t>2</w:t>
            </w:r>
            <w:r>
              <w:rPr>
                <w:rFonts w:hint="eastAsia" w:ascii="宋体" w:hAnsi="宋体" w:eastAsia="宋体" w:cs="宋体"/>
                <w:kern w:val="2"/>
                <w:sz w:val="21"/>
                <w:szCs w:val="21"/>
                <w:lang w:val="en-US" w:eastAsia="zh-CN" w:bidi="ar-SA"/>
              </w:rPr>
              <w:t>分。</w:t>
            </w:r>
          </w:p>
          <w:p>
            <w:pPr>
              <w:spacing w:line="480" w:lineRule="exac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（提供所投产品的来源渠道证明文件复印件作为证明材料。）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1470" w:type="dxa"/>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投标价格部分</w:t>
            </w:r>
          </w:p>
        </w:tc>
        <w:tc>
          <w:tcPr>
            <w:tcW w:w="1725" w:type="dxa"/>
            <w:vAlign w:val="center"/>
          </w:tcPr>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w:t>
            </w:r>
          </w:p>
          <w:p>
            <w:pPr>
              <w:pStyle w:val="5"/>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得分(40分)</w:t>
            </w:r>
          </w:p>
        </w:tc>
        <w:tc>
          <w:tcPr>
            <w:tcW w:w="6270" w:type="dxa"/>
          </w:tcPr>
          <w:p>
            <w:pPr>
              <w:tabs>
                <w:tab w:val="left" w:pos="612"/>
              </w:tabs>
              <w:snapToGrid w:val="0"/>
              <w:spacing w:line="288"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价格分应当采用低价优先法计算，即满足招标文件要求且投标价格最低的投标报价为评标基准价，其价格分为满分。其他投标人的价格分统一按照下列公式计算：</w:t>
            </w:r>
          </w:p>
          <w:p>
            <w:pPr>
              <w:tabs>
                <w:tab w:val="left" w:pos="612"/>
              </w:tabs>
              <w:snapToGrid w:val="0"/>
              <w:spacing w:line="288" w:lineRule="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投标价格得分=(评标基准价／投标报价)×40。</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2、价格评分：取满足招标文件要求且最低投标报价作为评标基准价，定评标基准价的价格评分为 40 分。其他投标人的价格分按照下列公式计算：</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投标报价得分＝（评标基准价/投标报价）×40。</w:t>
      </w:r>
    </w:p>
    <w:p>
      <w:pPr>
        <w:keepNext w:val="0"/>
        <w:keepLines w:val="0"/>
        <w:pageBreakBefore w:val="0"/>
        <w:widowControl w:val="0"/>
        <w:numPr>
          <w:ilvl w:val="0"/>
          <w:numId w:val="1"/>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价格评定</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sz w:val="28"/>
          <w:szCs w:val="36"/>
          <w:lang w:val="en-US" w:eastAsia="zh-CN"/>
        </w:rPr>
      </w:pPr>
      <w:r>
        <w:rPr>
          <w:rFonts w:hint="eastAsia"/>
          <w:sz w:val="28"/>
          <w:szCs w:val="36"/>
          <w:lang w:val="en-US" w:eastAsia="zh-CN"/>
        </w:rPr>
        <w:t>（1）价格核准：评审小组对有效投标人的详细报价进行复核，看其是否有计算上的错误或供货范围上的错误，修正错误的原则如下：</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a）若用文字表示的数值与数字表示的数值不一致，以文字</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表示的数值为准；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sz w:val="28"/>
          <w:szCs w:val="36"/>
          <w:lang w:val="en-US" w:eastAsia="zh-CN"/>
        </w:rPr>
      </w:pPr>
      <w:r>
        <w:rPr>
          <w:rFonts w:hint="eastAsia"/>
          <w:sz w:val="28"/>
          <w:szCs w:val="36"/>
          <w:lang w:val="en-US" w:eastAsia="zh-CN"/>
        </w:rPr>
        <w:t>b）若单价计算的结果与总价不一致，以单价计算的结果为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准；单价金额小数点有明显错位的，以总价为准修改单价。</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c）在评标过程中所有计算结果均精确到小数点后四位，第五位小数四舍五入。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将每个评审小组成员对投标人的各个评标因素所给予的分数的总和汇集，汇集后取其算术平均值即为该投标人的综合得分。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default"/>
          <w:sz w:val="28"/>
          <w:szCs w:val="36"/>
          <w:lang w:val="en-US" w:eastAsia="zh-CN"/>
        </w:rPr>
        <w:t>表 3：商务技术评分表</w:t>
      </w:r>
    </w:p>
    <w:tbl>
      <w:tblPr>
        <w:tblStyle w:val="3"/>
        <w:tblW w:w="85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147"/>
        <w:gridCol w:w="2159"/>
        <w:gridCol w:w="2115"/>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887" w:type="dxa"/>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mc:AlternateContent>
                <mc:Choice Requires="wpsCustomData">
                  <wpsCustomData:diagonalParaType/>
                </mc:Choice>
              </mc:AlternateContent>
              <w:rPr>
                <w:rFonts w:hint="eastAsia"/>
                <w:sz w:val="21"/>
                <w:szCs w:val="21"/>
                <w:vertAlign w:val="baseline"/>
                <w:lang w:val="en-US" w:eastAsia="zh-CN"/>
              </w:rPr>
            </w:pPr>
            <w:r>
              <w:rPr>
                <w:rFonts w:hint="eastAsia"/>
                <w:sz w:val="21"/>
                <w:szCs w:val="21"/>
                <w:vertAlign w:val="baseline"/>
                <w:lang w:val="en-US" w:eastAsia="zh-CN"/>
              </w:rPr>
              <w:t>投标人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评标</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因素</w:t>
            </w:r>
          </w:p>
        </w:tc>
        <w:tc>
          <w:tcPr>
            <w:tcW w:w="11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技术部分    （40分）</w:t>
            </w:r>
          </w:p>
        </w:tc>
        <w:tc>
          <w:tcPr>
            <w:tcW w:w="6479"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cstheme="minorBidi"/>
                <w:kern w:val="2"/>
                <w:sz w:val="21"/>
                <w:szCs w:val="24"/>
                <w:lang w:val="en-US" w:eastAsia="zh-CN" w:bidi="ar-SA"/>
              </w:rPr>
              <w:t>商务部分（20分）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887" w:type="dxa"/>
            <w:vMerge w:val="continue"/>
          </w:tcPr>
          <w:p>
            <w:pPr>
              <w:keepNext w:val="0"/>
              <w:keepLines w:val="0"/>
              <w:pageBreakBefore w:val="0"/>
              <w:widowControl w:val="0"/>
              <w:kinsoku/>
              <w:wordWrap/>
              <w:overflowPunct/>
              <w:topLinePunct w:val="0"/>
              <w:autoSpaceDE/>
              <w:autoSpaceDN/>
              <w:bidi w:val="0"/>
              <w:adjustRightInd/>
              <w:snapToGrid/>
              <w:jc w:val="left"/>
              <w:textAlignment w:val="auto"/>
            </w:pPr>
          </w:p>
        </w:tc>
        <w:tc>
          <w:tcPr>
            <w:tcW w:w="11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技术条款响应  （40分）</w:t>
            </w:r>
          </w:p>
        </w:tc>
        <w:tc>
          <w:tcPr>
            <w:tcW w:w="215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产品质量保证、安全保障措施 (6分）</w:t>
            </w:r>
          </w:p>
        </w:tc>
        <w:tc>
          <w:tcPr>
            <w:tcW w:w="211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ascii="宋体" w:hAnsi="宋体" w:eastAsia="宋体" w:cs="宋体"/>
                <w:kern w:val="2"/>
                <w:sz w:val="21"/>
                <w:szCs w:val="21"/>
                <w:highlight w:val="none"/>
                <w:lang w:val="en-US" w:eastAsia="zh-CN" w:bidi="ar-SA"/>
              </w:rPr>
              <w:t>整体供货、配送方案（6分）</w:t>
            </w:r>
          </w:p>
        </w:tc>
        <w:tc>
          <w:tcPr>
            <w:tcW w:w="2205" w:type="dxa"/>
            <w:vAlign w:val="center"/>
          </w:tcPr>
          <w:p>
            <w:pPr>
              <w:spacing w:line="480" w:lineRule="exact"/>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产品来源渠道情况</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ascii="宋体" w:hAnsi="宋体" w:eastAsia="宋体" w:cs="宋体"/>
                <w:kern w:val="2"/>
                <w:sz w:val="21"/>
                <w:szCs w:val="21"/>
                <w:lang w:val="en-US" w:eastAsia="zh-CN" w:bidi="ar-SA"/>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147"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59"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1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220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rPr>
      </w:pPr>
      <w:r>
        <w:rPr>
          <w:rFonts w:hint="eastAsia" w:ascii="仿宋" w:hAnsi="仿宋" w:eastAsia="仿宋" w:cs="仿宋_GB2312"/>
          <w:sz w:val="24"/>
          <w:szCs w:val="24"/>
        </w:rPr>
        <w:t>评审人签名：                                           日期：</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表 4: 综合评分</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514"/>
        <w:gridCol w:w="1515"/>
        <w:gridCol w:w="1260"/>
        <w:gridCol w:w="1515"/>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420"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numPr>
                <w:ilvl w:val="0"/>
                <w:numId w:val="0"/>
              </w:numPr>
              <w:kinsoku/>
              <w:wordWrap/>
              <w:overflowPunct/>
              <w:topLinePunct w:val="0"/>
              <w:autoSpaceDE/>
              <w:autoSpaceDN/>
              <w:bidi w:val="0"/>
              <w:adjustRightInd/>
              <w:snapToGrid w:val="0"/>
              <w:textAlignment w:val="auto"/>
              <mc:AlternateContent>
                <mc:Choice Requires="wpsCustomData">
                  <wpsCustomData:diagonalParaType/>
                </mc:Choice>
              </mc:AlternateContent>
              <w:rPr>
                <w:rFonts w:hint="eastAsia"/>
                <w:sz w:val="21"/>
                <w:szCs w:val="21"/>
                <w:vertAlign w:val="baseline"/>
                <w:lang w:val="en-US" w:eastAsia="zh-CN"/>
              </w:rPr>
            </w:pPr>
            <w:r>
              <w:rPr>
                <w:rFonts w:hint="eastAsia"/>
                <w:sz w:val="21"/>
                <w:szCs w:val="21"/>
                <w:vertAlign w:val="baseline"/>
                <w:lang w:val="en-US" w:eastAsia="zh-CN"/>
              </w:rPr>
              <w:t>投标人</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r>
              <w:rPr>
                <w:rFonts w:hint="eastAsia"/>
                <w:sz w:val="21"/>
                <w:szCs w:val="21"/>
                <w:vertAlign w:val="baseline"/>
                <w:lang w:val="en-US" w:eastAsia="zh-CN"/>
              </w:rPr>
              <w:t>分值</w:t>
            </w:r>
          </w:p>
        </w:tc>
        <w:tc>
          <w:tcPr>
            <w:tcW w:w="151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技术得分均值</w:t>
            </w:r>
          </w:p>
        </w:tc>
        <w:tc>
          <w:tcPr>
            <w:tcW w:w="1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商务得分均值</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价格得分</w:t>
            </w:r>
          </w:p>
        </w:tc>
        <w:tc>
          <w:tcPr>
            <w:tcW w:w="1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综合得分</w:t>
            </w:r>
          </w:p>
        </w:tc>
        <w:tc>
          <w:tcPr>
            <w:tcW w:w="12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1"/>
                <w:szCs w:val="21"/>
                <w:vertAlign w:val="baseline"/>
                <w:lang w:val="en-US" w:eastAsia="zh-CN"/>
              </w:rPr>
            </w:pPr>
            <w:r>
              <w:rPr>
                <w:rFonts w:hint="eastAsia"/>
                <w:sz w:val="21"/>
                <w:szCs w:val="21"/>
                <w:vertAlign w:val="baseline"/>
                <w:lang w:val="en-US" w:eastAsia="zh-CN"/>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4"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60"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515"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rPr>
      </w:pPr>
      <w:r>
        <w:rPr>
          <w:rFonts w:hint="eastAsia" w:ascii="仿宋" w:hAnsi="仿宋" w:eastAsia="仿宋" w:cs="仿宋_GB2312"/>
          <w:sz w:val="24"/>
          <w:szCs w:val="24"/>
        </w:rPr>
        <w:t>评审人签名：                                           日期：</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sz w:val="28"/>
          <w:szCs w:val="36"/>
          <w:lang w:val="en-US" w:eastAsia="zh-CN"/>
        </w:rPr>
      </w:pPr>
      <w:r>
        <w:rPr>
          <w:rFonts w:hint="eastAsia"/>
          <w:sz w:val="28"/>
          <w:szCs w:val="36"/>
          <w:lang w:val="en-US" w:eastAsia="zh-CN"/>
        </w:rPr>
        <w:t>（三）确定中标供应商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将综合评估分从高到低排出名次，总分第一名为第一中标候选供应商，第二名为第二中标候选供应商，以此类推（综合评估分相同的，按投标报价由低到高顺序排列；综合评估分且投标报价相同的，按综合实力优劣顺序排列）。</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五、评审结果公示</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评审结果在开平市农业农村局网站公示 3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9B975"/>
    <w:multiLevelType w:val="singleLevel"/>
    <w:tmpl w:val="1CC9B97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AA4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table" w:styleId="3">
    <w:name w:val="Table Grid"/>
    <w:basedOn w:val="2"/>
    <w:qFormat/>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suannai</cp:lastModifiedBy>
  <dcterms:modified xsi:type="dcterms:W3CDTF">2024-06-25T02:21:35Z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