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bookmarkStart w:id="0" w:name="_GoBack"/>
      <w:bookmarkEnd w:id="0"/>
      <w:r>
        <w:rPr>
          <w:rFonts w:hint="eastAsia" w:ascii="方正小标宋简体" w:hAnsi="方正小标宋简体" w:eastAsia="方正小标宋简体" w:cs="方正小标宋简体"/>
          <w:spacing w:val="-3"/>
          <w:sz w:val="44"/>
          <w:szCs w:val="44"/>
        </w:rPr>
        <w:t>开平市百合镇2022年政务公开工作要点分工方案</w:t>
      </w:r>
    </w:p>
    <w:tbl>
      <w:tblPr>
        <w:tblStyle w:val="5"/>
        <w:tblpPr w:leftFromText="180" w:rightFromText="180" w:vertAnchor="text" w:horzAnchor="page" w:tblpX="1142" w:tblpY="68"/>
        <w:tblOverlap w:val="never"/>
        <w:tblW w:w="146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1"/>
        <w:gridCol w:w="8761"/>
        <w:gridCol w:w="4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trPr>
        <w:tc>
          <w:tcPr>
            <w:tcW w:w="1691" w:type="dxa"/>
          </w:tcPr>
          <w:p>
            <w:pPr>
              <w:spacing w:before="129" w:line="180" w:lineRule="auto"/>
              <w:ind w:firstLine="287"/>
              <w:rPr>
                <w:rFonts w:ascii="黑体" w:hAnsi="黑体" w:eastAsia="黑体" w:cs="黑体"/>
                <w:sz w:val="28"/>
                <w:szCs w:val="28"/>
              </w:rPr>
            </w:pPr>
            <w:r>
              <w:rPr>
                <w:rFonts w:ascii="黑体" w:hAnsi="黑体" w:eastAsia="黑体" w:cs="黑体"/>
                <w:spacing w:val="-5"/>
                <w:sz w:val="28"/>
                <w:szCs w:val="28"/>
              </w:rPr>
              <w:t>工作任务</w:t>
            </w:r>
          </w:p>
        </w:tc>
        <w:tc>
          <w:tcPr>
            <w:tcW w:w="8761" w:type="dxa"/>
            <w:vAlign w:val="center"/>
          </w:tcPr>
          <w:p>
            <w:pPr>
              <w:spacing w:before="127" w:line="180" w:lineRule="auto"/>
              <w:ind w:firstLine="3816"/>
              <w:jc w:val="both"/>
              <w:rPr>
                <w:rFonts w:ascii="黑体" w:hAnsi="黑体" w:eastAsia="黑体" w:cs="黑体"/>
                <w:sz w:val="28"/>
                <w:szCs w:val="28"/>
              </w:rPr>
            </w:pPr>
            <w:r>
              <w:rPr>
                <w:rFonts w:ascii="黑体" w:hAnsi="黑体" w:eastAsia="黑体" w:cs="黑体"/>
                <w:spacing w:val="-3"/>
                <w:sz w:val="28"/>
                <w:szCs w:val="28"/>
              </w:rPr>
              <w:t>具体要求</w:t>
            </w:r>
          </w:p>
        </w:tc>
        <w:tc>
          <w:tcPr>
            <w:tcW w:w="4149" w:type="dxa"/>
            <w:vAlign w:val="center"/>
          </w:tcPr>
          <w:p>
            <w:pPr>
              <w:spacing w:before="129" w:line="180" w:lineRule="auto"/>
              <w:ind w:firstLine="1520"/>
              <w:jc w:val="both"/>
              <w:rPr>
                <w:rFonts w:ascii="黑体" w:hAnsi="黑体" w:eastAsia="黑体" w:cs="黑体"/>
                <w:sz w:val="28"/>
                <w:szCs w:val="28"/>
              </w:rPr>
            </w:pPr>
            <w:r>
              <w:rPr>
                <w:rFonts w:ascii="黑体" w:hAnsi="黑体" w:eastAsia="黑体" w:cs="黑体"/>
                <w:spacing w:val="-4"/>
                <w:sz w:val="28"/>
                <w:szCs w:val="28"/>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atLeast"/>
        </w:trPr>
        <w:tc>
          <w:tcPr>
            <w:tcW w:w="1691" w:type="dxa"/>
            <w:vMerge w:val="restart"/>
            <w:vAlign w:val="center"/>
          </w:tcPr>
          <w:p>
            <w:pPr>
              <w:spacing w:before="91" w:line="343" w:lineRule="auto"/>
              <w:ind w:right="168"/>
              <w:jc w:val="both"/>
              <w:rPr>
                <w:rFonts w:ascii="黑体" w:hAnsi="黑体" w:eastAsia="仿宋_GB2312" w:cs="黑体"/>
                <w:sz w:val="28"/>
                <w:szCs w:val="28"/>
              </w:rPr>
            </w:pPr>
            <w:r>
              <w:rPr>
                <w:rFonts w:hint="eastAsia" w:ascii="黑体" w:hAnsi="黑体" w:eastAsia="黑体" w:cs="黑体"/>
                <w:spacing w:val="-4"/>
                <w:sz w:val="28"/>
                <w:szCs w:val="28"/>
              </w:rPr>
              <w:t>一、做好各</w:t>
            </w:r>
            <w:r>
              <w:rPr>
                <w:rFonts w:hint="eastAsia" w:ascii="黑体" w:hAnsi="黑体" w:eastAsia="黑体" w:cs="黑体"/>
                <w:spacing w:val="4"/>
                <w:sz w:val="28"/>
                <w:szCs w:val="28"/>
              </w:rPr>
              <w:t xml:space="preserve"> </w:t>
            </w:r>
            <w:r>
              <w:rPr>
                <w:rFonts w:hint="eastAsia" w:ascii="黑体" w:hAnsi="黑体" w:eastAsia="黑体" w:cs="黑体"/>
                <w:spacing w:val="-1"/>
                <w:sz w:val="28"/>
                <w:szCs w:val="28"/>
              </w:rPr>
              <w:t>类规划主动公开。</w:t>
            </w:r>
          </w:p>
        </w:tc>
        <w:tc>
          <w:tcPr>
            <w:tcW w:w="8761" w:type="dxa"/>
            <w:vAlign w:val="center"/>
          </w:tcPr>
          <w:p>
            <w:pPr>
              <w:spacing w:before="124" w:line="400" w:lineRule="exact"/>
              <w:ind w:right="171"/>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1.主动公开“十四五”规划纲要、各项规划、政策解</w:t>
            </w:r>
            <w:r>
              <w:rPr>
                <w:rFonts w:hint="eastAsia" w:ascii="仿宋_GB2312" w:hAnsi="仿宋_GB2312" w:eastAsia="仿宋_GB2312" w:cs="仿宋_GB2312"/>
                <w:spacing w:val="-2"/>
                <w:sz w:val="28"/>
                <w:szCs w:val="28"/>
              </w:rPr>
              <w:t>读等相关信息。</w:t>
            </w:r>
          </w:p>
        </w:tc>
        <w:tc>
          <w:tcPr>
            <w:tcW w:w="4149" w:type="dxa"/>
            <w:vAlign w:val="center"/>
          </w:tcPr>
          <w:p>
            <w:pPr>
              <w:spacing w:before="121" w:line="400" w:lineRule="exact"/>
              <w:jc w:val="both"/>
              <w:rPr>
                <w:rFonts w:ascii="Microsoft JhengHei" w:hAnsi="Microsoft JhengHei" w:eastAsia="仿宋_GB2312" w:cs="Microsoft JhengHei"/>
                <w:sz w:val="28"/>
                <w:szCs w:val="28"/>
              </w:rPr>
            </w:pPr>
            <w:r>
              <w:rPr>
                <w:rFonts w:hint="eastAsia" w:ascii="Microsoft JhengHei" w:hAnsi="Microsoft JhengHei" w:eastAsia="仿宋_GB2312" w:cs="Microsoft JhengHei"/>
                <w:spacing w:val="-14"/>
                <w:sz w:val="28"/>
                <w:szCs w:val="28"/>
              </w:rPr>
              <w:t>党政综合办公室、经济发展办公室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trPr>
        <w:tc>
          <w:tcPr>
            <w:tcW w:w="1691" w:type="dxa"/>
            <w:vMerge w:val="continue"/>
          </w:tcPr>
          <w:p>
            <w:pPr>
              <w:rPr>
                <w:rFonts w:eastAsia="仿宋_GB2312"/>
              </w:rPr>
            </w:pPr>
          </w:p>
        </w:tc>
        <w:tc>
          <w:tcPr>
            <w:tcW w:w="8761" w:type="dxa"/>
            <w:vAlign w:val="center"/>
          </w:tcPr>
          <w:p>
            <w:pPr>
              <w:spacing w:before="124" w:line="400" w:lineRule="exact"/>
              <w:ind w:right="171"/>
              <w:jc w:val="both"/>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2.做好“十一五”规划至“十三五”规划等各项规划的归集整理和主动公开工作。</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党政综合办公室、经济发展办公室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rPr>
        <w:tc>
          <w:tcPr>
            <w:tcW w:w="1691" w:type="dxa"/>
            <w:vMerge w:val="restart"/>
            <w:vAlign w:val="center"/>
          </w:tcPr>
          <w:p>
            <w:pPr>
              <w:spacing w:before="91" w:line="343" w:lineRule="auto"/>
              <w:ind w:right="168"/>
              <w:jc w:val="both"/>
              <w:rPr>
                <w:rFonts w:ascii="黑体" w:hAnsi="黑体" w:eastAsia="仿宋_GB2312" w:cs="黑体"/>
                <w:sz w:val="28"/>
                <w:szCs w:val="28"/>
              </w:rPr>
            </w:pPr>
            <w:r>
              <w:rPr>
                <w:rFonts w:hint="eastAsia" w:ascii="黑体" w:hAnsi="黑体" w:eastAsia="黑体" w:cs="黑体"/>
                <w:spacing w:val="-4"/>
                <w:sz w:val="28"/>
                <w:szCs w:val="28"/>
              </w:rPr>
              <w:t>二、做好市场规则标准和监管执法信息公开。</w:t>
            </w:r>
          </w:p>
        </w:tc>
        <w:tc>
          <w:tcPr>
            <w:tcW w:w="8761" w:type="dxa"/>
            <w:vAlign w:val="center"/>
          </w:tcPr>
          <w:p>
            <w:pPr>
              <w:spacing w:before="124" w:line="400" w:lineRule="exact"/>
              <w:ind w:right="171"/>
              <w:jc w:val="both"/>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3.按照国家、省、市的要求，主动公开全国统一的市场准入负面清单，根据调整情况及时做好更新发布。</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经济发展办公室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6" w:hRule="atLeast"/>
        </w:trPr>
        <w:tc>
          <w:tcPr>
            <w:tcW w:w="1691" w:type="dxa"/>
            <w:vMerge w:val="continue"/>
          </w:tcPr>
          <w:p>
            <w:pPr>
              <w:rPr>
                <w:rFonts w:eastAsia="仿宋_GB2312"/>
              </w:rPr>
            </w:pPr>
          </w:p>
        </w:tc>
        <w:tc>
          <w:tcPr>
            <w:tcW w:w="8761" w:type="dxa"/>
            <w:vAlign w:val="center"/>
          </w:tcPr>
          <w:p>
            <w:pPr>
              <w:spacing w:before="124" w:line="400" w:lineRule="exact"/>
              <w:ind w:right="171"/>
              <w:jc w:val="both"/>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4.及时公开建设高标准市场体系行动方案的落实举措。</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经济发展办公室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1" w:hRule="atLeast"/>
        </w:trPr>
        <w:tc>
          <w:tcPr>
            <w:tcW w:w="1691" w:type="dxa"/>
            <w:vMerge w:val="continue"/>
          </w:tcPr>
          <w:p>
            <w:pPr>
              <w:rPr>
                <w:rFonts w:eastAsia="仿宋_GB2312"/>
              </w:rPr>
            </w:pPr>
          </w:p>
        </w:tc>
        <w:tc>
          <w:tcPr>
            <w:tcW w:w="8761" w:type="dxa"/>
            <w:vAlign w:val="center"/>
          </w:tcPr>
          <w:p>
            <w:pPr>
              <w:spacing w:before="124" w:line="400" w:lineRule="exact"/>
              <w:ind w:right="171"/>
              <w:jc w:val="both"/>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5.加强行政执法信息公开。</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综合行政执法办公室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3" w:hRule="atLeast"/>
        </w:trPr>
        <w:tc>
          <w:tcPr>
            <w:tcW w:w="1691" w:type="dxa"/>
            <w:vMerge w:val="continue"/>
          </w:tcPr>
          <w:p>
            <w:pPr>
              <w:rPr>
                <w:rFonts w:eastAsia="仿宋_GB2312"/>
              </w:rPr>
            </w:pPr>
          </w:p>
        </w:tc>
        <w:tc>
          <w:tcPr>
            <w:tcW w:w="8761" w:type="dxa"/>
            <w:vAlign w:val="center"/>
          </w:tcPr>
          <w:p>
            <w:pPr>
              <w:spacing w:before="124" w:line="400" w:lineRule="exact"/>
              <w:ind w:right="171"/>
              <w:jc w:val="both"/>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6.加强反不正当竞争执法信息公开工作。</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综合行政执法办公室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691" w:type="dxa"/>
            <w:vMerge w:val="restart"/>
            <w:vAlign w:val="center"/>
          </w:tcPr>
          <w:p>
            <w:pPr>
              <w:spacing w:before="91" w:line="346" w:lineRule="auto"/>
              <w:ind w:right="168"/>
              <w:jc w:val="both"/>
              <w:rPr>
                <w:rFonts w:ascii="黑体" w:hAnsi="黑体" w:eastAsia="仿宋_GB2312" w:cs="黑体"/>
                <w:sz w:val="28"/>
                <w:szCs w:val="28"/>
              </w:rPr>
            </w:pPr>
            <w:r>
              <w:rPr>
                <w:rFonts w:hint="eastAsia" w:ascii="黑体" w:hAnsi="黑体" w:eastAsia="黑体" w:cs="黑体"/>
                <w:spacing w:val="-4"/>
                <w:sz w:val="28"/>
                <w:szCs w:val="28"/>
              </w:rPr>
              <w:t>三、做好财政信息公开。</w:t>
            </w:r>
          </w:p>
        </w:tc>
        <w:tc>
          <w:tcPr>
            <w:tcW w:w="8761" w:type="dxa"/>
            <w:vAlign w:val="center"/>
          </w:tcPr>
          <w:p>
            <w:pPr>
              <w:spacing w:before="219" w:line="400" w:lineRule="exact"/>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7.积极推进本镇预算、决算及相关报表公开。</w:t>
            </w:r>
          </w:p>
        </w:tc>
        <w:tc>
          <w:tcPr>
            <w:tcW w:w="4149" w:type="dxa"/>
            <w:vMerge w:val="restart"/>
          </w:tcPr>
          <w:p>
            <w:pPr>
              <w:spacing w:before="121" w:line="400" w:lineRule="exact"/>
              <w:rPr>
                <w:rFonts w:ascii="Microsoft JhengHei" w:hAnsi="Microsoft JhengHei" w:eastAsia="仿宋_GB2312" w:cs="Microsoft JhengHei"/>
                <w:spacing w:val="-14"/>
                <w:sz w:val="28"/>
                <w:szCs w:val="28"/>
              </w:rPr>
            </w:pPr>
          </w:p>
          <w:p>
            <w:pPr>
              <w:spacing w:before="121" w:line="400" w:lineRule="exact"/>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财政所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2" w:hRule="atLeast"/>
        </w:trPr>
        <w:tc>
          <w:tcPr>
            <w:tcW w:w="1691" w:type="dxa"/>
            <w:vMerge w:val="continue"/>
          </w:tcPr>
          <w:p>
            <w:pPr>
              <w:rPr>
                <w:rFonts w:eastAsia="仿宋_GB2312"/>
              </w:rPr>
            </w:pPr>
          </w:p>
        </w:tc>
        <w:tc>
          <w:tcPr>
            <w:tcW w:w="8761" w:type="dxa"/>
            <w:vAlign w:val="center"/>
          </w:tcPr>
          <w:p>
            <w:pPr>
              <w:spacing w:before="83" w:line="400" w:lineRule="exact"/>
              <w:ind w:right="87"/>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8.持续深化地方政府债务信息公开，通过集中统一平台定期公开地方政府债务限额、余额、品种、期限、利率、使用安排、偿还计划、还本付息、偿债资金来源等信息。</w:t>
            </w:r>
          </w:p>
        </w:tc>
        <w:tc>
          <w:tcPr>
            <w:tcW w:w="4149" w:type="dxa"/>
            <w:vMerge w:val="continue"/>
          </w:tcPr>
          <w:p>
            <w:pPr>
              <w:spacing w:before="121" w:line="400" w:lineRule="exact"/>
              <w:rPr>
                <w:rFonts w:ascii="Microsoft JhengHei" w:hAnsi="Microsoft JhengHei" w:eastAsia="仿宋_GB2312" w:cs="Microsoft JhengHei"/>
                <w:spacing w:val="-1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6" w:hRule="atLeast"/>
        </w:trPr>
        <w:tc>
          <w:tcPr>
            <w:tcW w:w="1691" w:type="dxa"/>
            <w:vMerge w:val="continue"/>
          </w:tcPr>
          <w:p>
            <w:pPr>
              <w:rPr>
                <w:rFonts w:eastAsia="仿宋_GB2312"/>
              </w:rPr>
            </w:pPr>
          </w:p>
        </w:tc>
        <w:tc>
          <w:tcPr>
            <w:tcW w:w="8761" w:type="dxa"/>
            <w:vAlign w:val="center"/>
          </w:tcPr>
          <w:p>
            <w:pPr>
              <w:spacing w:before="91" w:line="400" w:lineRule="exact"/>
              <w:ind w:right="171"/>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9.加大惠民惠农资金发放信息公开力度，及时公布财政资金直达基层的分配、下达和使用管理信息。</w:t>
            </w:r>
          </w:p>
        </w:tc>
        <w:tc>
          <w:tcPr>
            <w:tcW w:w="4149" w:type="dxa"/>
            <w:vMerge w:val="restart"/>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财政所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0" w:hRule="atLeast"/>
        </w:trPr>
        <w:tc>
          <w:tcPr>
            <w:tcW w:w="1691" w:type="dxa"/>
            <w:vMerge w:val="continue"/>
          </w:tcPr>
          <w:p>
            <w:pPr>
              <w:rPr>
                <w:rFonts w:eastAsia="仿宋_GB2312"/>
              </w:rPr>
            </w:pPr>
          </w:p>
        </w:tc>
        <w:tc>
          <w:tcPr>
            <w:tcW w:w="8761" w:type="dxa"/>
            <w:vAlign w:val="center"/>
          </w:tcPr>
          <w:p>
            <w:pPr>
              <w:spacing w:before="93" w:line="400" w:lineRule="exact"/>
              <w:ind w:right="87"/>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10.落实补贴信息公开向村和社区延伸，并与村（居）务公开有效衔接。</w:t>
            </w:r>
          </w:p>
        </w:tc>
        <w:tc>
          <w:tcPr>
            <w:tcW w:w="4149" w:type="dxa"/>
            <w:vMerge w:val="continue"/>
          </w:tcPr>
          <w:p>
            <w:pPr>
              <w:spacing w:before="121" w:line="400" w:lineRule="exact"/>
              <w:rPr>
                <w:rFonts w:ascii="Microsoft JhengHei" w:hAnsi="Microsoft JhengHei" w:eastAsia="仿宋_GB2312" w:cs="Microsoft JhengHei"/>
                <w:spacing w:val="-14"/>
                <w:sz w:val="28"/>
                <w:szCs w:val="28"/>
              </w:rPr>
            </w:pPr>
          </w:p>
        </w:tc>
      </w:tr>
    </w:tbl>
    <w:p>
      <w:pPr>
        <w:spacing w:line="79" w:lineRule="exact"/>
      </w:pPr>
    </w:p>
    <w:p>
      <w:pPr>
        <w:spacing w:before="91" w:line="343" w:lineRule="auto"/>
        <w:ind w:right="134"/>
        <w:jc w:val="both"/>
        <w:rPr>
          <w:rFonts w:ascii="黑体" w:hAnsi="黑体" w:eastAsia="黑体" w:cs="黑体"/>
          <w:spacing w:val="-4"/>
          <w:sz w:val="28"/>
          <w:szCs w:val="28"/>
        </w:rPr>
        <w:sectPr>
          <w:headerReference r:id="rId3" w:type="default"/>
          <w:footerReference r:id="rId4" w:type="default"/>
          <w:pgSz w:w="16839" w:h="11906"/>
          <w:pgMar w:top="454" w:right="1132" w:bottom="865" w:left="1134" w:header="0" w:footer="701" w:gutter="0"/>
          <w:pgNumType w:fmt="numberInDash"/>
          <w:cols w:space="720" w:num="1"/>
        </w:sectPr>
      </w:pPr>
    </w:p>
    <w:tbl>
      <w:tblPr>
        <w:tblStyle w:val="5"/>
        <w:tblW w:w="14601"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1691"/>
        <w:gridCol w:w="8761"/>
        <w:gridCol w:w="4149"/>
      </w:tblGrid>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552" w:hRule="atLeast"/>
        </w:trPr>
        <w:tc>
          <w:tcPr>
            <w:tcW w:w="1691" w:type="dxa"/>
          </w:tcPr>
          <w:p>
            <w:pPr>
              <w:spacing w:before="129" w:line="180" w:lineRule="auto"/>
              <w:ind w:firstLine="287"/>
              <w:rPr>
                <w:rFonts w:ascii="黑体" w:hAnsi="黑体" w:eastAsia="黑体" w:cs="黑体"/>
                <w:sz w:val="28"/>
                <w:szCs w:val="28"/>
              </w:rPr>
            </w:pPr>
            <w:r>
              <w:rPr>
                <w:rFonts w:ascii="黑体" w:hAnsi="黑体" w:eastAsia="黑体" w:cs="黑体"/>
                <w:spacing w:val="-5"/>
                <w:sz w:val="28"/>
                <w:szCs w:val="28"/>
              </w:rPr>
              <w:t>工作任务</w:t>
            </w:r>
          </w:p>
        </w:tc>
        <w:tc>
          <w:tcPr>
            <w:tcW w:w="8761" w:type="dxa"/>
            <w:vAlign w:val="center"/>
          </w:tcPr>
          <w:p>
            <w:pPr>
              <w:spacing w:before="127" w:line="180" w:lineRule="auto"/>
              <w:ind w:firstLine="3816"/>
              <w:jc w:val="both"/>
              <w:rPr>
                <w:rFonts w:ascii="黑体" w:hAnsi="黑体" w:eastAsia="黑体" w:cs="黑体"/>
                <w:sz w:val="28"/>
                <w:szCs w:val="28"/>
              </w:rPr>
            </w:pPr>
            <w:r>
              <w:rPr>
                <w:rFonts w:ascii="黑体" w:hAnsi="黑体" w:eastAsia="黑体" w:cs="黑体"/>
                <w:spacing w:val="-3"/>
                <w:sz w:val="28"/>
                <w:szCs w:val="28"/>
              </w:rPr>
              <w:t>具体要求</w:t>
            </w:r>
          </w:p>
        </w:tc>
        <w:tc>
          <w:tcPr>
            <w:tcW w:w="4149" w:type="dxa"/>
            <w:vAlign w:val="center"/>
          </w:tcPr>
          <w:p>
            <w:pPr>
              <w:spacing w:before="129" w:line="180" w:lineRule="auto"/>
              <w:ind w:firstLine="1520"/>
              <w:jc w:val="both"/>
              <w:rPr>
                <w:rFonts w:ascii="黑体" w:hAnsi="黑体" w:eastAsia="黑体" w:cs="黑体"/>
                <w:sz w:val="28"/>
                <w:szCs w:val="28"/>
              </w:rPr>
            </w:pPr>
            <w:r>
              <w:rPr>
                <w:rFonts w:ascii="黑体" w:hAnsi="黑体" w:eastAsia="黑体" w:cs="黑体"/>
                <w:spacing w:val="-4"/>
                <w:sz w:val="28"/>
                <w:szCs w:val="28"/>
              </w:rPr>
              <w:t>责任单位</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694" w:hRule="atLeast"/>
        </w:trPr>
        <w:tc>
          <w:tcPr>
            <w:tcW w:w="1691" w:type="dxa"/>
            <w:vMerge w:val="restart"/>
            <w:tcBorders>
              <w:bottom w:val="nil"/>
            </w:tcBorders>
            <w:vAlign w:val="center"/>
          </w:tcPr>
          <w:p>
            <w:pPr>
              <w:spacing w:before="91" w:line="343" w:lineRule="auto"/>
              <w:ind w:right="134"/>
              <w:jc w:val="both"/>
              <w:rPr>
                <w:rFonts w:ascii="黑体" w:hAnsi="黑体" w:eastAsia="仿宋_GB2312" w:cs="黑体"/>
                <w:sz w:val="28"/>
                <w:szCs w:val="28"/>
              </w:rPr>
            </w:pPr>
            <w:r>
              <w:rPr>
                <w:rFonts w:hint="eastAsia" w:ascii="黑体" w:hAnsi="黑体" w:eastAsia="黑体" w:cs="黑体"/>
                <w:spacing w:val="-4"/>
                <w:sz w:val="28"/>
                <w:szCs w:val="28"/>
              </w:rPr>
              <w:t>四、做好政府网站专栏信息公开。</w:t>
            </w:r>
          </w:p>
        </w:tc>
        <w:tc>
          <w:tcPr>
            <w:tcW w:w="8761" w:type="dxa"/>
            <w:vAlign w:val="center"/>
          </w:tcPr>
          <w:p>
            <w:pPr>
              <w:spacing w:before="344" w:line="400" w:lineRule="exact"/>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11.及时更新政府网站的各类型概况信息。</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698" w:hRule="atLeast"/>
        </w:trPr>
        <w:tc>
          <w:tcPr>
            <w:tcW w:w="1691" w:type="dxa"/>
            <w:vMerge w:val="continue"/>
            <w:tcBorders>
              <w:top w:val="nil"/>
            </w:tcBorders>
          </w:tcPr>
          <w:p>
            <w:pPr>
              <w:rPr>
                <w:rFonts w:eastAsia="仿宋_GB2312"/>
              </w:rPr>
            </w:pPr>
          </w:p>
        </w:tc>
        <w:tc>
          <w:tcPr>
            <w:tcW w:w="8761" w:type="dxa"/>
            <w:vAlign w:val="center"/>
          </w:tcPr>
          <w:p>
            <w:pPr>
              <w:spacing w:before="197" w:line="400" w:lineRule="exact"/>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12.及时反馈网民对调查征集信息的意见。</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762" w:hRule="atLeast"/>
        </w:trPr>
        <w:tc>
          <w:tcPr>
            <w:tcW w:w="1691" w:type="dxa"/>
            <w:vMerge w:val="restart"/>
            <w:tcBorders>
              <w:top w:val="nil"/>
            </w:tcBorders>
            <w:vAlign w:val="center"/>
          </w:tcPr>
          <w:p>
            <w:pPr>
              <w:jc w:val="both"/>
              <w:rPr>
                <w:rFonts w:eastAsia="仿宋_GB2312"/>
              </w:rPr>
            </w:pPr>
            <w:r>
              <w:rPr>
                <w:rFonts w:hint="eastAsia" w:ascii="黑体" w:hAnsi="黑体" w:eastAsia="黑体" w:cs="黑体"/>
                <w:spacing w:val="-4"/>
                <w:sz w:val="28"/>
                <w:szCs w:val="28"/>
              </w:rPr>
              <w:t>五、做好常态化疫情防控信息公开。</w:t>
            </w:r>
          </w:p>
        </w:tc>
        <w:tc>
          <w:tcPr>
            <w:tcW w:w="8761" w:type="dxa"/>
            <w:vAlign w:val="center"/>
          </w:tcPr>
          <w:p>
            <w:pPr>
              <w:spacing w:before="113" w:line="400" w:lineRule="exact"/>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13.扎实做好疫苗接种信息公开和舆论引导工作。</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公共服务办公室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33" w:hRule="atLeast"/>
        </w:trPr>
        <w:tc>
          <w:tcPr>
            <w:tcW w:w="1691" w:type="dxa"/>
            <w:vMerge w:val="continue"/>
            <w:tcBorders>
              <w:top w:val="nil"/>
              <w:bottom w:val="nil"/>
            </w:tcBorders>
          </w:tcPr>
          <w:p>
            <w:pPr>
              <w:rPr>
                <w:rFonts w:eastAsia="仿宋_GB2312"/>
              </w:rPr>
            </w:pPr>
          </w:p>
        </w:tc>
        <w:tc>
          <w:tcPr>
            <w:tcW w:w="8761" w:type="dxa"/>
            <w:vAlign w:val="center"/>
          </w:tcPr>
          <w:p>
            <w:pPr>
              <w:spacing w:before="101" w:line="400" w:lineRule="exact"/>
              <w:ind w:right="89"/>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14.提高新冠肺炎疫情防控信息发布规范化水平，强化政府系统内部信息整合，统一步调对外发声。</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公共服务办公室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165" w:hRule="atLeast"/>
        </w:trPr>
        <w:tc>
          <w:tcPr>
            <w:tcW w:w="1691" w:type="dxa"/>
            <w:vMerge w:val="continue"/>
            <w:tcBorders>
              <w:top w:val="nil"/>
            </w:tcBorders>
          </w:tcPr>
          <w:p>
            <w:pPr>
              <w:rPr>
                <w:rFonts w:eastAsia="仿宋_GB2312"/>
              </w:rPr>
            </w:pPr>
          </w:p>
        </w:tc>
        <w:tc>
          <w:tcPr>
            <w:tcW w:w="8761" w:type="dxa"/>
            <w:vAlign w:val="center"/>
          </w:tcPr>
          <w:p>
            <w:pPr>
              <w:spacing w:before="121" w:line="400" w:lineRule="exact"/>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15.做好爱国卫生运动、健康中国行动等相关工作的信息公开。</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公共服务办公室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864" w:hRule="atLeast"/>
        </w:trPr>
        <w:tc>
          <w:tcPr>
            <w:tcW w:w="1691" w:type="dxa"/>
            <w:vMerge w:val="restart"/>
            <w:tcBorders>
              <w:bottom w:val="nil"/>
            </w:tcBorders>
            <w:vAlign w:val="center"/>
          </w:tcPr>
          <w:p>
            <w:pPr>
              <w:spacing w:before="91" w:line="342" w:lineRule="auto"/>
              <w:ind w:right="168"/>
              <w:jc w:val="both"/>
              <w:rPr>
                <w:rFonts w:ascii="黑体" w:hAnsi="黑体" w:eastAsia="仿宋_GB2312" w:cs="黑体"/>
                <w:sz w:val="28"/>
                <w:szCs w:val="28"/>
              </w:rPr>
            </w:pPr>
            <w:r>
              <w:rPr>
                <w:rFonts w:hint="eastAsia" w:ascii="黑体" w:hAnsi="黑体" w:eastAsia="黑体" w:cs="黑体"/>
                <w:spacing w:val="-4"/>
                <w:sz w:val="28"/>
                <w:szCs w:val="28"/>
              </w:rPr>
              <w:t>六、持续加强重大政策发布解读。</w:t>
            </w:r>
          </w:p>
        </w:tc>
        <w:tc>
          <w:tcPr>
            <w:tcW w:w="8761" w:type="dxa"/>
            <w:vAlign w:val="center"/>
          </w:tcPr>
          <w:p>
            <w:pPr>
              <w:spacing w:before="112" w:line="400" w:lineRule="exact"/>
              <w:ind w:right="87"/>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16.建立“六稳”“六保”专栏目，重点围绕做好“六稳”工作、落实“六保”任务，聚焦镇党委、镇政府中心工作，切实加强重大政策实施的发布解读。要开展深入宣传阐释，精心组织策划，及时发布权威信息，积极开展多角度、全方位、立体化、多频次的深度解读。</w:t>
            </w:r>
          </w:p>
        </w:tc>
        <w:tc>
          <w:tcPr>
            <w:tcW w:w="4149" w:type="dxa"/>
            <w:vMerge w:val="restart"/>
            <w:tcBorders>
              <w:bottom w:val="nil"/>
            </w:tcBorders>
            <w:vAlign w:val="center"/>
          </w:tcPr>
          <w:p>
            <w:pPr>
              <w:spacing w:before="121" w:line="400" w:lineRule="exact"/>
              <w:jc w:val="both"/>
              <w:rPr>
                <w:rFonts w:ascii="Microsoft JhengHei" w:hAnsi="Microsoft JhengHei" w:eastAsia="仿宋_GB2312" w:cs="Microsoft JhengHei"/>
                <w:sz w:val="28"/>
                <w:szCs w:val="28"/>
              </w:rPr>
            </w:pPr>
            <w:r>
              <w:rPr>
                <w:rFonts w:hint="eastAsia" w:ascii="Microsoft JhengHei" w:hAnsi="Microsoft JhengHei" w:eastAsia="仿宋_GB2312" w:cs="Microsoft JhengHei"/>
                <w:spacing w:val="-14"/>
                <w:sz w:val="28"/>
                <w:szCs w:val="28"/>
              </w:rPr>
              <w:t>党政综合办公室、经济发展办公室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573" w:hRule="atLeast"/>
        </w:trPr>
        <w:tc>
          <w:tcPr>
            <w:tcW w:w="1691" w:type="dxa"/>
            <w:vMerge w:val="continue"/>
            <w:tcBorders>
              <w:top w:val="nil"/>
            </w:tcBorders>
          </w:tcPr>
          <w:p>
            <w:pPr>
              <w:rPr>
                <w:rFonts w:eastAsia="仿宋_GB2312"/>
              </w:rPr>
            </w:pPr>
          </w:p>
        </w:tc>
        <w:tc>
          <w:tcPr>
            <w:tcW w:w="8761" w:type="dxa"/>
            <w:vAlign w:val="center"/>
          </w:tcPr>
          <w:p>
            <w:pPr>
              <w:spacing w:before="113" w:line="400" w:lineRule="exact"/>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17.综合运用新闻发布会、在线访谈、图文动画、短视频等形式，对重大政策开展深入解读，更加注重对政策背景、出台目的、重要举措等方面的实质性解读。</w:t>
            </w:r>
          </w:p>
        </w:tc>
        <w:tc>
          <w:tcPr>
            <w:tcW w:w="4149" w:type="dxa"/>
            <w:vMerge w:val="continue"/>
            <w:tcBorders>
              <w:top w:val="nil"/>
            </w:tcBorders>
          </w:tcPr>
          <w:p>
            <w:pPr>
              <w:rPr>
                <w:rFonts w:eastAsia="仿宋_GB2312"/>
              </w:rPr>
            </w:pPr>
          </w:p>
        </w:tc>
      </w:tr>
    </w:tbl>
    <w:p>
      <w:pPr>
        <w:rPr>
          <w:rFonts w:eastAsia="仿宋_GB2312"/>
        </w:rPr>
      </w:pPr>
    </w:p>
    <w:p>
      <w:pPr>
        <w:rPr>
          <w:rFonts w:eastAsia="仿宋_GB2312"/>
        </w:rPr>
        <w:sectPr>
          <w:pgSz w:w="16839" w:h="11906"/>
          <w:pgMar w:top="867" w:right="1132" w:bottom="865" w:left="1134" w:header="0" w:footer="701" w:gutter="0"/>
          <w:pgNumType w:fmt="numberInDash"/>
          <w:cols w:space="720" w:num="1"/>
        </w:sectPr>
      </w:pPr>
    </w:p>
    <w:tbl>
      <w:tblPr>
        <w:tblStyle w:val="5"/>
        <w:tblW w:w="14601"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1691"/>
        <w:gridCol w:w="8761"/>
        <w:gridCol w:w="4149"/>
      </w:tblGrid>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552" w:hRule="atLeast"/>
        </w:trPr>
        <w:tc>
          <w:tcPr>
            <w:tcW w:w="1691" w:type="dxa"/>
          </w:tcPr>
          <w:p>
            <w:pPr>
              <w:spacing w:before="129" w:line="180" w:lineRule="auto"/>
              <w:ind w:firstLine="287"/>
              <w:jc w:val="center"/>
              <w:rPr>
                <w:rFonts w:ascii="黑体" w:hAnsi="黑体" w:eastAsia="黑体" w:cs="黑体"/>
                <w:spacing w:val="-5"/>
                <w:sz w:val="28"/>
                <w:szCs w:val="28"/>
              </w:rPr>
            </w:pPr>
            <w:r>
              <w:rPr>
                <w:rFonts w:ascii="黑体" w:hAnsi="黑体" w:eastAsia="黑体" w:cs="黑体"/>
                <w:spacing w:val="-5"/>
                <w:sz w:val="28"/>
                <w:szCs w:val="28"/>
              </w:rPr>
              <w:t>工作任务</w:t>
            </w:r>
          </w:p>
        </w:tc>
        <w:tc>
          <w:tcPr>
            <w:tcW w:w="8761" w:type="dxa"/>
          </w:tcPr>
          <w:p>
            <w:pPr>
              <w:spacing w:before="129" w:line="180" w:lineRule="auto"/>
              <w:ind w:firstLine="287"/>
              <w:jc w:val="center"/>
              <w:rPr>
                <w:rFonts w:ascii="黑体" w:hAnsi="黑体" w:eastAsia="黑体" w:cs="黑体"/>
                <w:spacing w:val="-5"/>
                <w:sz w:val="28"/>
                <w:szCs w:val="28"/>
              </w:rPr>
            </w:pPr>
            <w:r>
              <w:rPr>
                <w:rFonts w:ascii="黑体" w:hAnsi="黑体" w:eastAsia="黑体" w:cs="黑体"/>
                <w:spacing w:val="-5"/>
                <w:sz w:val="28"/>
                <w:szCs w:val="28"/>
              </w:rPr>
              <w:t>具体要求</w:t>
            </w:r>
          </w:p>
        </w:tc>
        <w:tc>
          <w:tcPr>
            <w:tcW w:w="4149" w:type="dxa"/>
          </w:tcPr>
          <w:p>
            <w:pPr>
              <w:spacing w:before="129" w:line="180" w:lineRule="auto"/>
              <w:ind w:firstLine="287"/>
              <w:jc w:val="center"/>
              <w:rPr>
                <w:rFonts w:ascii="黑体" w:hAnsi="黑体" w:eastAsia="黑体" w:cs="黑体"/>
                <w:spacing w:val="-5"/>
                <w:sz w:val="28"/>
                <w:szCs w:val="28"/>
              </w:rPr>
            </w:pPr>
            <w:r>
              <w:rPr>
                <w:rFonts w:ascii="黑体" w:hAnsi="黑体" w:eastAsia="黑体" w:cs="黑体"/>
                <w:spacing w:val="-5"/>
                <w:sz w:val="28"/>
                <w:szCs w:val="28"/>
              </w:rPr>
              <w:t>责任单位</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5" w:hRule="atLeast"/>
        </w:trPr>
        <w:tc>
          <w:tcPr>
            <w:tcW w:w="1691" w:type="dxa"/>
            <w:vMerge w:val="restart"/>
            <w:tcBorders>
              <w:bottom w:val="nil"/>
            </w:tcBorders>
            <w:vAlign w:val="center"/>
          </w:tcPr>
          <w:p>
            <w:pPr>
              <w:spacing w:before="91" w:line="341" w:lineRule="auto"/>
              <w:ind w:right="168"/>
              <w:jc w:val="both"/>
              <w:rPr>
                <w:rFonts w:ascii="黑体" w:hAnsi="黑体" w:eastAsia="仿宋_GB2312" w:cs="黑体"/>
                <w:sz w:val="28"/>
                <w:szCs w:val="28"/>
              </w:rPr>
            </w:pPr>
            <w:r>
              <w:rPr>
                <w:rFonts w:hint="eastAsia" w:ascii="黑体" w:hAnsi="黑体" w:eastAsia="黑体" w:cs="黑体"/>
                <w:spacing w:val="-4"/>
                <w:sz w:val="28"/>
                <w:szCs w:val="28"/>
              </w:rPr>
              <w:t>七、不断改进政策解读工作方式。</w:t>
            </w:r>
          </w:p>
        </w:tc>
        <w:tc>
          <w:tcPr>
            <w:tcW w:w="8761" w:type="dxa"/>
            <w:vAlign w:val="center"/>
          </w:tcPr>
          <w:p>
            <w:pPr>
              <w:spacing w:before="95" w:line="400" w:lineRule="exact"/>
              <w:ind w:right="89"/>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18.按照《江门市政府系统政策解读工作细则（试行）》相关要求，健全政策解读工作机制，规范工作流程，确保解读方案、解读材料与政策文件同步组织、同步审签、同步部署。</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1" w:hRule="atLeast"/>
        </w:trPr>
        <w:tc>
          <w:tcPr>
            <w:tcW w:w="1691" w:type="dxa"/>
            <w:vMerge w:val="continue"/>
            <w:tcBorders>
              <w:top w:val="nil"/>
              <w:bottom w:val="nil"/>
            </w:tcBorders>
          </w:tcPr>
          <w:p>
            <w:pPr>
              <w:rPr>
                <w:rFonts w:eastAsia="仿宋_GB2312"/>
              </w:rPr>
            </w:pPr>
          </w:p>
        </w:tc>
        <w:tc>
          <w:tcPr>
            <w:tcW w:w="8761" w:type="dxa"/>
            <w:vAlign w:val="center"/>
          </w:tcPr>
          <w:p>
            <w:pPr>
              <w:spacing w:before="358" w:line="400" w:lineRule="exact"/>
              <w:ind w:right="89"/>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19.按照省政府工作部署，加快形成以国务院政策问答平台为龙头，各地区、各部门协同联动、对接共享的政策问答体系。</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00" w:hRule="atLeast"/>
        </w:trPr>
        <w:tc>
          <w:tcPr>
            <w:tcW w:w="1691" w:type="dxa"/>
            <w:vMerge w:val="continue"/>
            <w:tcBorders>
              <w:top w:val="nil"/>
              <w:bottom w:val="nil"/>
            </w:tcBorders>
          </w:tcPr>
          <w:p>
            <w:pPr>
              <w:rPr>
                <w:rFonts w:eastAsia="仿宋_GB2312"/>
              </w:rPr>
            </w:pPr>
          </w:p>
        </w:tc>
        <w:tc>
          <w:tcPr>
            <w:tcW w:w="8761" w:type="dxa"/>
            <w:vAlign w:val="center"/>
          </w:tcPr>
          <w:p>
            <w:pPr>
              <w:spacing w:before="103" w:line="400" w:lineRule="exact"/>
              <w:ind w:right="87"/>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20.加强政策咨询服务，政策制定机关要积极解答政策执行机关和企业、 群众的咨询，精准传达政策意图（政策文件和解读资料需添加咨询方式）。</w:t>
            </w:r>
          </w:p>
        </w:tc>
        <w:tc>
          <w:tcPr>
            <w:tcW w:w="4149" w:type="dxa"/>
            <w:vMerge w:val="restart"/>
            <w:tcBorders>
              <w:bottom w:val="nil"/>
            </w:tcBorders>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838" w:hRule="atLeast"/>
        </w:trPr>
        <w:tc>
          <w:tcPr>
            <w:tcW w:w="1691" w:type="dxa"/>
            <w:vMerge w:val="continue"/>
            <w:tcBorders>
              <w:top w:val="nil"/>
              <w:bottom w:val="nil"/>
            </w:tcBorders>
          </w:tcPr>
          <w:p>
            <w:pPr>
              <w:rPr>
                <w:rFonts w:eastAsia="仿宋_GB2312"/>
              </w:rPr>
            </w:pPr>
          </w:p>
        </w:tc>
        <w:tc>
          <w:tcPr>
            <w:tcW w:w="8761" w:type="dxa"/>
            <w:vAlign w:val="center"/>
          </w:tcPr>
          <w:p>
            <w:pPr>
              <w:spacing w:before="105" w:line="400" w:lineRule="exact"/>
              <w:ind w:right="89"/>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21.修订政府信息公开指南，明确对外告知政府信息公开渠道。</w:t>
            </w:r>
          </w:p>
        </w:tc>
        <w:tc>
          <w:tcPr>
            <w:tcW w:w="4149" w:type="dxa"/>
            <w:vMerge w:val="continue"/>
            <w:tcBorders>
              <w:top w:val="nil"/>
            </w:tcBorders>
            <w:vAlign w:val="center"/>
          </w:tcPr>
          <w:p>
            <w:pPr>
              <w:spacing w:before="121" w:line="400" w:lineRule="exact"/>
              <w:jc w:val="both"/>
              <w:rPr>
                <w:rFonts w:ascii="Microsoft JhengHei" w:hAnsi="Microsoft JhengHei" w:eastAsia="仿宋_GB2312" w:cs="Microsoft JhengHei"/>
                <w:spacing w:val="-14"/>
                <w:sz w:val="28"/>
                <w:szCs w:val="28"/>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733" w:hRule="atLeast"/>
        </w:trPr>
        <w:tc>
          <w:tcPr>
            <w:tcW w:w="1691" w:type="dxa"/>
            <w:vMerge w:val="continue"/>
            <w:tcBorders>
              <w:top w:val="nil"/>
              <w:bottom w:val="nil"/>
            </w:tcBorders>
          </w:tcPr>
          <w:p>
            <w:pPr>
              <w:rPr>
                <w:rFonts w:eastAsia="仿宋_GB2312"/>
              </w:rPr>
            </w:pPr>
          </w:p>
        </w:tc>
        <w:tc>
          <w:tcPr>
            <w:tcW w:w="8761" w:type="dxa"/>
            <w:vAlign w:val="center"/>
          </w:tcPr>
          <w:p>
            <w:pPr>
              <w:spacing w:before="113" w:line="400" w:lineRule="exact"/>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22.有效依托12345政务服务便民热线、各级实体服务大厅和政府网站，融合线上线下政府信息公开服务，结合政务公开专区建设、政府信息查阅点、依申请公开受理点等窗口，为企业和群众提供“一号答”“一站 式”的政策咨询综合服务。</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经济发展办公室、公共服务中心</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054" w:hRule="atLeast"/>
        </w:trPr>
        <w:tc>
          <w:tcPr>
            <w:tcW w:w="1691" w:type="dxa"/>
            <w:vMerge w:val="continue"/>
            <w:tcBorders>
              <w:top w:val="nil"/>
            </w:tcBorders>
          </w:tcPr>
          <w:p>
            <w:pPr>
              <w:rPr>
                <w:rFonts w:eastAsia="仿宋_GB2312"/>
              </w:rPr>
            </w:pPr>
          </w:p>
        </w:tc>
        <w:tc>
          <w:tcPr>
            <w:tcW w:w="8761" w:type="dxa"/>
            <w:vAlign w:val="center"/>
          </w:tcPr>
          <w:p>
            <w:pPr>
              <w:spacing w:before="114" w:line="400" w:lineRule="exact"/>
              <w:ind w:right="89"/>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23.加强政府信息公开窗口建设，有效传递党和国家重大政策，积极解答政策咨询。</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党政综合办公室、公共服务中心</w:t>
            </w:r>
          </w:p>
        </w:tc>
      </w:tr>
    </w:tbl>
    <w:p>
      <w:pPr>
        <w:rPr>
          <w:rFonts w:eastAsia="仿宋_GB2312"/>
        </w:rPr>
      </w:pPr>
    </w:p>
    <w:p>
      <w:pPr>
        <w:rPr>
          <w:rFonts w:eastAsia="仿宋_GB2312"/>
        </w:rPr>
        <w:sectPr>
          <w:headerReference r:id="rId5" w:type="default"/>
          <w:footerReference r:id="rId6" w:type="default"/>
          <w:pgSz w:w="16839" w:h="11906"/>
          <w:pgMar w:top="867" w:right="1199" w:bottom="868" w:left="1134" w:header="0" w:footer="701" w:gutter="0"/>
          <w:pgNumType w:fmt="numberInDash"/>
          <w:cols w:space="720" w:num="1"/>
        </w:sectPr>
      </w:pPr>
    </w:p>
    <w:tbl>
      <w:tblPr>
        <w:tblStyle w:val="5"/>
        <w:tblW w:w="14601"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1691"/>
        <w:gridCol w:w="8761"/>
        <w:gridCol w:w="4149"/>
      </w:tblGrid>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552" w:hRule="atLeast"/>
        </w:trPr>
        <w:tc>
          <w:tcPr>
            <w:tcW w:w="1691" w:type="dxa"/>
          </w:tcPr>
          <w:p>
            <w:pPr>
              <w:spacing w:before="129" w:line="180" w:lineRule="auto"/>
              <w:ind w:firstLine="287"/>
              <w:jc w:val="center"/>
              <w:rPr>
                <w:rFonts w:ascii="黑体" w:hAnsi="黑体" w:eastAsia="黑体" w:cs="黑体"/>
                <w:spacing w:val="-5"/>
                <w:sz w:val="28"/>
                <w:szCs w:val="28"/>
              </w:rPr>
            </w:pPr>
            <w:r>
              <w:rPr>
                <w:rFonts w:ascii="黑体" w:hAnsi="黑体" w:eastAsia="黑体" w:cs="黑体"/>
                <w:spacing w:val="-5"/>
                <w:sz w:val="28"/>
                <w:szCs w:val="28"/>
              </w:rPr>
              <w:t>工作任务</w:t>
            </w:r>
          </w:p>
        </w:tc>
        <w:tc>
          <w:tcPr>
            <w:tcW w:w="8761" w:type="dxa"/>
          </w:tcPr>
          <w:p>
            <w:pPr>
              <w:spacing w:before="129" w:line="180" w:lineRule="auto"/>
              <w:ind w:firstLine="287"/>
              <w:jc w:val="center"/>
              <w:rPr>
                <w:rFonts w:ascii="黑体" w:hAnsi="黑体" w:eastAsia="黑体" w:cs="黑体"/>
                <w:spacing w:val="-5"/>
                <w:sz w:val="28"/>
                <w:szCs w:val="28"/>
              </w:rPr>
            </w:pPr>
            <w:r>
              <w:rPr>
                <w:rFonts w:ascii="黑体" w:hAnsi="黑体" w:eastAsia="黑体" w:cs="黑体"/>
                <w:spacing w:val="-5"/>
                <w:sz w:val="28"/>
                <w:szCs w:val="28"/>
              </w:rPr>
              <w:t>具体要求</w:t>
            </w:r>
          </w:p>
        </w:tc>
        <w:tc>
          <w:tcPr>
            <w:tcW w:w="4149" w:type="dxa"/>
          </w:tcPr>
          <w:p>
            <w:pPr>
              <w:spacing w:before="129" w:line="180" w:lineRule="auto"/>
              <w:ind w:firstLine="287"/>
              <w:jc w:val="center"/>
              <w:rPr>
                <w:rFonts w:ascii="黑体" w:hAnsi="黑体" w:eastAsia="黑体" w:cs="黑体"/>
                <w:spacing w:val="-5"/>
                <w:sz w:val="28"/>
                <w:szCs w:val="28"/>
              </w:rPr>
            </w:pPr>
            <w:r>
              <w:rPr>
                <w:rFonts w:ascii="黑体" w:hAnsi="黑体" w:eastAsia="黑体" w:cs="黑体"/>
                <w:spacing w:val="-5"/>
                <w:sz w:val="28"/>
                <w:szCs w:val="28"/>
              </w:rPr>
              <w:t>责任单位</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712" w:hRule="atLeast"/>
        </w:trPr>
        <w:tc>
          <w:tcPr>
            <w:tcW w:w="1691" w:type="dxa"/>
            <w:vMerge w:val="restart"/>
            <w:tcBorders>
              <w:bottom w:val="nil"/>
            </w:tcBorders>
            <w:vAlign w:val="center"/>
          </w:tcPr>
          <w:p>
            <w:pPr>
              <w:spacing w:before="91" w:line="343" w:lineRule="auto"/>
              <w:ind w:right="168"/>
              <w:jc w:val="both"/>
              <w:rPr>
                <w:rFonts w:ascii="黑体" w:hAnsi="黑体" w:eastAsia="仿宋_GB2312" w:cs="黑体"/>
                <w:sz w:val="28"/>
                <w:szCs w:val="28"/>
              </w:rPr>
            </w:pPr>
            <w:r>
              <w:rPr>
                <w:rFonts w:hint="eastAsia" w:ascii="黑体" w:hAnsi="黑体" w:eastAsia="黑体" w:cs="黑体"/>
                <w:spacing w:val="-4"/>
                <w:sz w:val="28"/>
                <w:szCs w:val="28"/>
              </w:rPr>
              <w:t>八、切实增强回应关切效果。</w:t>
            </w:r>
          </w:p>
        </w:tc>
        <w:tc>
          <w:tcPr>
            <w:tcW w:w="8761" w:type="dxa"/>
            <w:vAlign w:val="center"/>
          </w:tcPr>
          <w:p>
            <w:pPr>
              <w:spacing w:before="73" w:line="400" w:lineRule="exact"/>
              <w:ind w:right="89"/>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24.密切关注涉及疫情防控、房地产金融、工资拖欠、环境污染和生态破坏、食品药品安全、教育医疗养老、安全生产、困难群众生活等方面的舆情并及时作出回应，助力防范化解重大风险。</w:t>
            </w:r>
          </w:p>
        </w:tc>
        <w:tc>
          <w:tcPr>
            <w:tcW w:w="4149" w:type="dxa"/>
            <w:vMerge w:val="restart"/>
            <w:tcBorders>
              <w:bottom w:val="nil"/>
            </w:tcBorders>
            <w:vAlign w:val="center"/>
          </w:tcPr>
          <w:p>
            <w:pPr>
              <w:spacing w:before="121" w:line="400" w:lineRule="exact"/>
              <w:jc w:val="both"/>
              <w:rPr>
                <w:rFonts w:ascii="Microsoft JhengHei" w:hAnsi="Microsoft JhengHei" w:eastAsia="仿宋_GB2312" w:cs="Microsoft JhengHei"/>
                <w:sz w:val="28"/>
                <w:szCs w:val="28"/>
              </w:rPr>
            </w:pPr>
            <w:r>
              <w:rPr>
                <w:rFonts w:hint="eastAsia" w:ascii="Microsoft JhengHei" w:hAnsi="Microsoft JhengHei" w:eastAsia="仿宋_GB2312" w:cs="Microsoft JhengHei"/>
                <w:sz w:val="28"/>
                <w:szCs w:val="28"/>
              </w:rPr>
              <w:t>党政综合办公室、综合治理办公室、综合治理服务中心</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2105" w:hRule="atLeast"/>
        </w:trPr>
        <w:tc>
          <w:tcPr>
            <w:tcW w:w="1691" w:type="dxa"/>
            <w:vMerge w:val="continue"/>
            <w:tcBorders>
              <w:top w:val="nil"/>
              <w:bottom w:val="nil"/>
            </w:tcBorders>
          </w:tcPr>
          <w:p>
            <w:pPr>
              <w:rPr>
                <w:rFonts w:eastAsia="仿宋_GB2312"/>
              </w:rPr>
            </w:pPr>
          </w:p>
        </w:tc>
        <w:tc>
          <w:tcPr>
            <w:tcW w:w="8761" w:type="dxa"/>
            <w:vAlign w:val="center"/>
          </w:tcPr>
          <w:p>
            <w:pPr>
              <w:spacing w:before="73" w:line="400" w:lineRule="exact"/>
              <w:ind w:right="87"/>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25.提前做好重大政策发布前和发布后的解读回应工作，注意收集相关舆情。增强回应工作的主动性，通过网上调研等方式，及时了解掌握社会公众对政策执行效果的反馈与评价，主动回应存在的共性问题，助力政策完善。</w:t>
            </w:r>
          </w:p>
        </w:tc>
        <w:tc>
          <w:tcPr>
            <w:tcW w:w="4149" w:type="dxa"/>
            <w:vMerge w:val="continue"/>
            <w:tcBorders>
              <w:top w:val="nil"/>
              <w:bottom w:val="nil"/>
            </w:tcBorders>
            <w:vAlign w:val="center"/>
          </w:tcPr>
          <w:p>
            <w:pPr>
              <w:spacing w:line="400" w:lineRule="exact"/>
              <w:jc w:val="both"/>
              <w:rPr>
                <w:rFonts w:eastAsia="仿宋_GB2312"/>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641" w:hRule="atLeast"/>
        </w:trPr>
        <w:tc>
          <w:tcPr>
            <w:tcW w:w="1691" w:type="dxa"/>
            <w:vMerge w:val="continue"/>
            <w:tcBorders>
              <w:top w:val="nil"/>
              <w:bottom w:val="nil"/>
            </w:tcBorders>
          </w:tcPr>
          <w:p>
            <w:pPr>
              <w:rPr>
                <w:rFonts w:eastAsia="仿宋_GB2312"/>
              </w:rPr>
            </w:pPr>
          </w:p>
        </w:tc>
        <w:tc>
          <w:tcPr>
            <w:tcW w:w="8761" w:type="dxa"/>
            <w:vAlign w:val="center"/>
          </w:tcPr>
          <w:p>
            <w:pPr>
              <w:spacing w:before="82" w:line="400" w:lineRule="exact"/>
              <w:ind w:right="109"/>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26.认真做好政务舆情（政务新媒体后台留言）和“省长留言信箱”“12345”政府热线等各类留言信息的办理工作，以解决问题的具体举措实质性回应社会关切。</w:t>
            </w:r>
          </w:p>
        </w:tc>
        <w:tc>
          <w:tcPr>
            <w:tcW w:w="4149" w:type="dxa"/>
            <w:vMerge w:val="continue"/>
            <w:tcBorders>
              <w:top w:val="nil"/>
              <w:bottom w:val="nil"/>
            </w:tcBorders>
            <w:vAlign w:val="center"/>
          </w:tcPr>
          <w:p>
            <w:pPr>
              <w:spacing w:line="400" w:lineRule="exact"/>
              <w:jc w:val="both"/>
              <w:rPr>
                <w:rFonts w:eastAsia="仿宋_GB2312"/>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175" w:hRule="atLeast"/>
        </w:trPr>
        <w:tc>
          <w:tcPr>
            <w:tcW w:w="1691" w:type="dxa"/>
            <w:vMerge w:val="continue"/>
            <w:tcBorders>
              <w:top w:val="nil"/>
              <w:bottom w:val="single" w:color="auto" w:sz="4" w:space="0"/>
            </w:tcBorders>
          </w:tcPr>
          <w:p>
            <w:pPr>
              <w:rPr>
                <w:rFonts w:eastAsia="仿宋_GB2312"/>
              </w:rPr>
            </w:pPr>
          </w:p>
        </w:tc>
        <w:tc>
          <w:tcPr>
            <w:tcW w:w="8761" w:type="dxa"/>
            <w:tcBorders>
              <w:bottom w:val="single" w:color="auto" w:sz="4" w:space="0"/>
            </w:tcBorders>
            <w:vAlign w:val="center"/>
          </w:tcPr>
          <w:p>
            <w:pPr>
              <w:spacing w:before="89" w:line="400" w:lineRule="exact"/>
              <w:ind w:right="89"/>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27.建立舆情回应台账管理制度，认真核查已作出的承诺的跟踪落实及公开情况，切实维护政府公信力。</w:t>
            </w:r>
          </w:p>
        </w:tc>
        <w:tc>
          <w:tcPr>
            <w:tcW w:w="4149" w:type="dxa"/>
            <w:vMerge w:val="continue"/>
            <w:tcBorders>
              <w:top w:val="nil"/>
              <w:bottom w:val="single" w:color="auto" w:sz="4" w:space="0"/>
            </w:tcBorders>
            <w:vAlign w:val="center"/>
          </w:tcPr>
          <w:p>
            <w:pPr>
              <w:spacing w:line="400" w:lineRule="exact"/>
              <w:jc w:val="both"/>
              <w:rPr>
                <w:rFonts w:eastAsia="仿宋_GB2312"/>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855" w:hRule="atLeast"/>
        </w:trPr>
        <w:tc>
          <w:tcPr>
            <w:tcW w:w="1691" w:type="dxa"/>
            <w:tcBorders>
              <w:top w:val="single" w:color="auto" w:sz="4" w:space="0"/>
              <w:left w:val="single" w:color="auto" w:sz="4" w:space="0"/>
              <w:bottom w:val="single" w:color="auto" w:sz="4" w:space="0"/>
              <w:right w:val="single" w:color="auto" w:sz="4" w:space="0"/>
            </w:tcBorders>
            <w:vAlign w:val="center"/>
          </w:tcPr>
          <w:p>
            <w:pPr>
              <w:spacing w:before="91" w:line="343" w:lineRule="auto"/>
              <w:ind w:right="168"/>
              <w:jc w:val="both"/>
              <w:rPr>
                <w:rFonts w:ascii="黑体" w:hAnsi="黑体" w:eastAsia="仿宋_GB2312" w:cs="黑体"/>
                <w:sz w:val="28"/>
                <w:szCs w:val="28"/>
              </w:rPr>
            </w:pPr>
            <w:r>
              <w:rPr>
                <w:rFonts w:hint="eastAsia" w:ascii="黑体" w:hAnsi="黑体" w:eastAsia="黑体" w:cs="黑体"/>
                <w:spacing w:val="-4"/>
                <w:sz w:val="28"/>
                <w:szCs w:val="28"/>
              </w:rPr>
              <w:t>九、做好政务信息管理工作。</w:t>
            </w:r>
          </w:p>
        </w:tc>
        <w:tc>
          <w:tcPr>
            <w:tcW w:w="8761" w:type="dxa"/>
            <w:tcBorders>
              <w:top w:val="single" w:color="auto" w:sz="4" w:space="0"/>
              <w:left w:val="single" w:color="auto" w:sz="4" w:space="0"/>
              <w:bottom w:val="single" w:color="auto" w:sz="4" w:space="0"/>
              <w:right w:val="single" w:color="auto" w:sz="4" w:space="0"/>
            </w:tcBorders>
            <w:vAlign w:val="center"/>
          </w:tcPr>
          <w:p>
            <w:pPr>
              <w:spacing w:before="127" w:line="400" w:lineRule="exact"/>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28.对照中国政府法制信息网行政法规库公布的行政法规和国家正式版本，在本镇网站上及时更新本系统实施的行政法规文本。</w:t>
            </w:r>
          </w:p>
        </w:tc>
        <w:tc>
          <w:tcPr>
            <w:tcW w:w="4149" w:type="dxa"/>
            <w:tcBorders>
              <w:top w:val="single" w:color="auto" w:sz="4" w:space="0"/>
              <w:left w:val="single" w:color="auto" w:sz="4" w:space="0"/>
              <w:bottom w:val="single" w:color="auto" w:sz="4" w:space="0"/>
              <w:right w:val="single" w:color="auto" w:sz="4" w:space="0"/>
            </w:tcBorders>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党政综合办公室、司法所</w:t>
            </w:r>
          </w:p>
        </w:tc>
      </w:tr>
    </w:tbl>
    <w:p>
      <w:pPr>
        <w:rPr>
          <w:rFonts w:eastAsia="仿宋_GB2312"/>
        </w:rPr>
        <w:sectPr>
          <w:headerReference r:id="rId7" w:type="default"/>
          <w:footerReference r:id="rId8" w:type="default"/>
          <w:pgSz w:w="16839" w:h="11906"/>
          <w:pgMar w:top="867" w:right="1132" w:bottom="868" w:left="1134" w:header="0" w:footer="704" w:gutter="0"/>
          <w:pgNumType w:fmt="numberInDash"/>
          <w:cols w:space="720" w:num="1"/>
        </w:sectPr>
      </w:pPr>
    </w:p>
    <w:tbl>
      <w:tblPr>
        <w:tblStyle w:val="5"/>
        <w:tblW w:w="14601"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1691"/>
        <w:gridCol w:w="8761"/>
        <w:gridCol w:w="4149"/>
      </w:tblGrid>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551" w:hRule="atLeast"/>
        </w:trPr>
        <w:tc>
          <w:tcPr>
            <w:tcW w:w="1691" w:type="dxa"/>
          </w:tcPr>
          <w:p>
            <w:pPr>
              <w:spacing w:before="129" w:line="180" w:lineRule="auto"/>
              <w:ind w:firstLine="287"/>
              <w:jc w:val="center"/>
              <w:rPr>
                <w:rFonts w:ascii="黑体" w:hAnsi="黑体" w:eastAsia="黑体" w:cs="黑体"/>
                <w:spacing w:val="-5"/>
                <w:sz w:val="28"/>
                <w:szCs w:val="28"/>
              </w:rPr>
            </w:pPr>
            <w:r>
              <w:rPr>
                <w:rFonts w:ascii="黑体" w:hAnsi="黑体" w:eastAsia="黑体" w:cs="黑体"/>
                <w:spacing w:val="-5"/>
                <w:sz w:val="28"/>
                <w:szCs w:val="28"/>
              </w:rPr>
              <w:t>工作任务</w:t>
            </w:r>
          </w:p>
        </w:tc>
        <w:tc>
          <w:tcPr>
            <w:tcW w:w="8761" w:type="dxa"/>
          </w:tcPr>
          <w:p>
            <w:pPr>
              <w:spacing w:before="129" w:line="180" w:lineRule="auto"/>
              <w:ind w:firstLine="287"/>
              <w:jc w:val="center"/>
              <w:rPr>
                <w:rFonts w:ascii="黑体" w:hAnsi="黑体" w:eastAsia="黑体" w:cs="黑体"/>
                <w:spacing w:val="-5"/>
                <w:sz w:val="28"/>
                <w:szCs w:val="28"/>
              </w:rPr>
            </w:pPr>
            <w:r>
              <w:rPr>
                <w:rFonts w:ascii="黑体" w:hAnsi="黑体" w:eastAsia="黑体" w:cs="黑体"/>
                <w:spacing w:val="-5"/>
                <w:sz w:val="28"/>
                <w:szCs w:val="28"/>
              </w:rPr>
              <w:t>具体要求</w:t>
            </w:r>
          </w:p>
        </w:tc>
        <w:tc>
          <w:tcPr>
            <w:tcW w:w="4149" w:type="dxa"/>
          </w:tcPr>
          <w:p>
            <w:pPr>
              <w:spacing w:before="129" w:line="180" w:lineRule="auto"/>
              <w:ind w:firstLine="287"/>
              <w:jc w:val="center"/>
              <w:rPr>
                <w:rFonts w:ascii="黑体" w:hAnsi="黑体" w:eastAsia="黑体" w:cs="黑体"/>
                <w:spacing w:val="-5"/>
                <w:sz w:val="28"/>
                <w:szCs w:val="28"/>
              </w:rPr>
            </w:pPr>
            <w:r>
              <w:rPr>
                <w:rFonts w:ascii="黑体" w:hAnsi="黑体" w:eastAsia="黑体" w:cs="黑体"/>
                <w:spacing w:val="-5"/>
                <w:sz w:val="28"/>
                <w:szCs w:val="28"/>
              </w:rPr>
              <w:t>责任单位</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611" w:hRule="atLeast"/>
        </w:trPr>
        <w:tc>
          <w:tcPr>
            <w:tcW w:w="1691" w:type="dxa"/>
            <w:tcBorders>
              <w:top w:val="nil"/>
            </w:tcBorders>
            <w:vAlign w:val="center"/>
          </w:tcPr>
          <w:p>
            <w:pPr>
              <w:jc w:val="both"/>
              <w:rPr>
                <w:rFonts w:eastAsia="仿宋_GB2312"/>
              </w:rPr>
            </w:pPr>
            <w:r>
              <w:rPr>
                <w:rFonts w:hint="eastAsia" w:ascii="黑体" w:hAnsi="黑体" w:eastAsia="黑体" w:cs="黑体"/>
                <w:spacing w:val="-4"/>
                <w:sz w:val="28"/>
                <w:szCs w:val="28"/>
              </w:rPr>
              <w:t>十、完善政务公开平台</w:t>
            </w:r>
          </w:p>
        </w:tc>
        <w:tc>
          <w:tcPr>
            <w:tcW w:w="8761" w:type="dxa"/>
            <w:vAlign w:val="center"/>
          </w:tcPr>
          <w:p>
            <w:pPr>
              <w:spacing w:before="258" w:line="400" w:lineRule="exact"/>
              <w:jc w:val="both"/>
              <w:rPr>
                <w:rFonts w:ascii="Microsoft JhengHei" w:hAnsi="Microsoft JhengHei" w:eastAsia="仿宋_GB2312" w:cs="Microsoft JhengHei"/>
                <w:sz w:val="27"/>
                <w:szCs w:val="27"/>
              </w:rPr>
            </w:pPr>
            <w:r>
              <w:rPr>
                <w:rFonts w:hint="eastAsia" w:ascii="仿宋_GB2312" w:hAnsi="仿宋_GB2312" w:eastAsia="仿宋_GB2312" w:cs="仿宋_GB2312"/>
                <w:spacing w:val="-6"/>
                <w:sz w:val="28"/>
                <w:szCs w:val="28"/>
              </w:rPr>
              <w:t>29.不断完善政务新媒体监管机制，针对一哄而上、重复建设、“娱乐化”“空壳”等问题有序开展清理整合。建立健全政务新媒体清单管理机制，实行动态更新，杜绝瞒报漏报。严格落实信息发布审核制度，先审后发，确保政务新媒体信息内容安全和平稳高效运行。</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24" w:hRule="atLeast"/>
        </w:trPr>
        <w:tc>
          <w:tcPr>
            <w:tcW w:w="1691" w:type="dxa"/>
            <w:vMerge w:val="restart"/>
            <w:tcBorders>
              <w:top w:val="nil"/>
            </w:tcBorders>
            <w:vAlign w:val="center"/>
          </w:tcPr>
          <w:p>
            <w:pPr>
              <w:jc w:val="both"/>
              <w:rPr>
                <w:rFonts w:eastAsia="仿宋_GB2312"/>
              </w:rPr>
            </w:pPr>
            <w:r>
              <w:rPr>
                <w:rFonts w:hint="eastAsia" w:ascii="黑体" w:hAnsi="黑体" w:eastAsia="黑体" w:cs="黑体"/>
                <w:spacing w:val="-4"/>
                <w:sz w:val="28"/>
                <w:szCs w:val="28"/>
              </w:rPr>
              <w:t>十一、推进基层政务公开标准化规范化。</w:t>
            </w:r>
          </w:p>
        </w:tc>
        <w:tc>
          <w:tcPr>
            <w:tcW w:w="8761" w:type="dxa"/>
            <w:vAlign w:val="center"/>
          </w:tcPr>
          <w:p>
            <w:pPr>
              <w:spacing w:before="56" w:line="400" w:lineRule="exact"/>
              <w:ind w:right="89"/>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30.持续做好本镇26个领域基层政务公开标准目录的落实，并根据实际情况进行动态调整。做好政府网站相关专栏的更新维护。</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379" w:hRule="atLeast"/>
        </w:trPr>
        <w:tc>
          <w:tcPr>
            <w:tcW w:w="1691" w:type="dxa"/>
            <w:vMerge w:val="continue"/>
            <w:tcBorders>
              <w:top w:val="nil"/>
            </w:tcBorders>
          </w:tcPr>
          <w:p>
            <w:pPr>
              <w:rPr>
                <w:rFonts w:eastAsia="仿宋_GB2312"/>
              </w:rPr>
            </w:pPr>
          </w:p>
        </w:tc>
        <w:tc>
          <w:tcPr>
            <w:tcW w:w="8761" w:type="dxa"/>
            <w:vAlign w:val="center"/>
          </w:tcPr>
          <w:p>
            <w:pPr>
              <w:spacing w:before="61" w:line="400" w:lineRule="exact"/>
              <w:ind w:right="87"/>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31.202</w:t>
            </w:r>
            <w:r>
              <w:rPr>
                <w:rFonts w:hint="eastAsia" w:ascii="仿宋_GB2312" w:hAnsi="仿宋_GB2312" w:eastAsia="仿宋_GB2312" w:cs="仿宋_GB2312"/>
                <w:spacing w:val="-6"/>
                <w:sz w:val="28"/>
                <w:szCs w:val="28"/>
                <w:lang w:val="en-US" w:eastAsia="zh-CN"/>
              </w:rPr>
              <w:t>2</w:t>
            </w:r>
            <w:r>
              <w:rPr>
                <w:rFonts w:hint="eastAsia" w:ascii="仿宋_GB2312" w:hAnsi="仿宋_GB2312" w:eastAsia="仿宋_GB2312" w:cs="仿宋_GB2312"/>
                <w:spacing w:val="-6"/>
                <w:sz w:val="28"/>
                <w:szCs w:val="28"/>
              </w:rPr>
              <w:t>年12月1日前完成主动公开基层目录编制，并统一在政府信息公开平台上对外发布。</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765" w:hRule="atLeast"/>
        </w:trPr>
        <w:tc>
          <w:tcPr>
            <w:tcW w:w="1691" w:type="dxa"/>
            <w:vMerge w:val="restart"/>
            <w:tcBorders>
              <w:bottom w:val="nil"/>
            </w:tcBorders>
            <w:vAlign w:val="center"/>
          </w:tcPr>
          <w:p>
            <w:pPr>
              <w:spacing w:before="91" w:line="343" w:lineRule="auto"/>
              <w:ind w:right="168"/>
              <w:jc w:val="both"/>
              <w:rPr>
                <w:rFonts w:ascii="黑体" w:hAnsi="黑体" w:eastAsia="仿宋_GB2312" w:cs="黑体"/>
                <w:sz w:val="28"/>
                <w:szCs w:val="28"/>
              </w:rPr>
            </w:pPr>
            <w:r>
              <w:rPr>
                <w:rFonts w:hint="eastAsia" w:ascii="黑体" w:hAnsi="黑体" w:eastAsia="黑体" w:cs="黑体"/>
                <w:spacing w:val="-4"/>
                <w:sz w:val="28"/>
                <w:szCs w:val="28"/>
              </w:rPr>
              <w:t>十二、提高依申请公开工作质量。</w:t>
            </w:r>
          </w:p>
        </w:tc>
        <w:tc>
          <w:tcPr>
            <w:tcW w:w="8761" w:type="dxa"/>
            <w:vAlign w:val="center"/>
          </w:tcPr>
          <w:p>
            <w:pPr>
              <w:spacing w:before="64" w:line="400" w:lineRule="exact"/>
              <w:ind w:right="89"/>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32.强化服务理念，把依申请公开工作作为服务人民群众生产生活、支持市场主体创业创新的重要方式，更好满足申请人对政府信息的个性化合理需求。</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656" w:hRule="atLeast"/>
        </w:trPr>
        <w:tc>
          <w:tcPr>
            <w:tcW w:w="1691" w:type="dxa"/>
            <w:vMerge w:val="continue"/>
            <w:tcBorders>
              <w:top w:val="nil"/>
              <w:bottom w:val="nil"/>
            </w:tcBorders>
          </w:tcPr>
          <w:p>
            <w:pPr>
              <w:rPr>
                <w:rFonts w:eastAsia="仿宋_GB2312"/>
              </w:rPr>
            </w:pPr>
          </w:p>
        </w:tc>
        <w:tc>
          <w:tcPr>
            <w:tcW w:w="8761" w:type="dxa"/>
            <w:vAlign w:val="center"/>
          </w:tcPr>
          <w:p>
            <w:pPr>
              <w:spacing w:before="69" w:line="400" w:lineRule="exact"/>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33.启用新版依申请公开系统，认真按照政府信息公开申请办理答复规范要求，适用规范的文书模板，进一步建立健全政府信息公开申请登记、审核、办理、答复、归档工作制度，提升答复文书规范化程度。</w:t>
            </w:r>
          </w:p>
        </w:tc>
        <w:tc>
          <w:tcPr>
            <w:tcW w:w="4149" w:type="dxa"/>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Microsoft JhengHei" w:hAnsi="Microsoft JhengHei" w:eastAsia="仿宋_GB2312" w:cs="Microsoft JhengHei"/>
                <w:spacing w:val="-14"/>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986" w:hRule="atLeast"/>
        </w:trPr>
        <w:tc>
          <w:tcPr>
            <w:tcW w:w="1691" w:type="dxa"/>
            <w:vMerge w:val="continue"/>
            <w:tcBorders>
              <w:top w:val="nil"/>
              <w:bottom w:val="single" w:color="auto" w:sz="4" w:space="0"/>
            </w:tcBorders>
          </w:tcPr>
          <w:p>
            <w:pPr>
              <w:rPr>
                <w:rFonts w:eastAsia="仿宋_GB2312"/>
              </w:rPr>
            </w:pPr>
          </w:p>
        </w:tc>
        <w:tc>
          <w:tcPr>
            <w:tcW w:w="8761" w:type="dxa"/>
            <w:tcBorders>
              <w:bottom w:val="single" w:color="auto" w:sz="4" w:space="0"/>
            </w:tcBorders>
            <w:vAlign w:val="center"/>
          </w:tcPr>
          <w:p>
            <w:pPr>
              <w:spacing w:before="122" w:line="400" w:lineRule="exact"/>
              <w:ind w:right="89"/>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34.正确适用《政府信息公开信息处理费管理办法》，严格依照规定的标准、程序、方式计收信息处理费。</w:t>
            </w:r>
          </w:p>
        </w:tc>
        <w:tc>
          <w:tcPr>
            <w:tcW w:w="4149" w:type="dxa"/>
            <w:tcBorders>
              <w:bottom w:val="single" w:color="auto" w:sz="4" w:space="0"/>
            </w:tcBorders>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仿宋_GB2312" w:hAnsi="仿宋_GB2312" w:eastAsia="仿宋_GB2312" w:cs="仿宋_GB2312"/>
                <w:spacing w:val="-6"/>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2235" w:hRule="atLeast"/>
        </w:trPr>
        <w:tc>
          <w:tcPr>
            <w:tcW w:w="1691" w:type="dxa"/>
            <w:tcBorders>
              <w:top w:val="single" w:color="auto" w:sz="4" w:space="0"/>
              <w:left w:val="single" w:color="auto" w:sz="4" w:space="0"/>
              <w:bottom w:val="single" w:color="auto" w:sz="4" w:space="0"/>
              <w:right w:val="single" w:color="auto" w:sz="4" w:space="0"/>
            </w:tcBorders>
            <w:vAlign w:val="center"/>
          </w:tcPr>
          <w:p>
            <w:pPr>
              <w:spacing w:before="91" w:line="343" w:lineRule="auto"/>
              <w:ind w:right="168"/>
              <w:jc w:val="both"/>
              <w:rPr>
                <w:rFonts w:ascii="黑体" w:hAnsi="黑体" w:eastAsia="黑体" w:cs="黑体"/>
                <w:spacing w:val="-4"/>
                <w:sz w:val="28"/>
                <w:szCs w:val="28"/>
              </w:rPr>
            </w:pPr>
            <w:r>
              <w:rPr>
                <w:rFonts w:hint="eastAsia" w:ascii="黑体" w:hAnsi="黑体" w:eastAsia="黑体" w:cs="黑体"/>
                <w:spacing w:val="-4"/>
                <w:sz w:val="28"/>
                <w:szCs w:val="28"/>
              </w:rPr>
              <w:t>十三、加强配套制度建设。</w:t>
            </w:r>
          </w:p>
        </w:tc>
        <w:tc>
          <w:tcPr>
            <w:tcW w:w="8761" w:type="dxa"/>
            <w:tcBorders>
              <w:top w:val="single" w:color="auto" w:sz="4" w:space="0"/>
              <w:left w:val="single" w:color="auto" w:sz="4" w:space="0"/>
              <w:bottom w:val="single" w:color="auto" w:sz="4" w:space="0"/>
              <w:right w:val="single" w:color="auto" w:sz="4" w:space="0"/>
            </w:tcBorders>
            <w:vAlign w:val="center"/>
          </w:tcPr>
          <w:p>
            <w:pPr>
              <w:spacing w:before="360" w:line="400" w:lineRule="exact"/>
              <w:ind w:right="87"/>
              <w:jc w:val="both"/>
              <w:rPr>
                <w:rFonts w:ascii="Microsoft JhengHei" w:hAnsi="Microsoft JhengHei" w:eastAsia="仿宋_GB2312" w:cs="Microsoft JhengHei"/>
                <w:color w:val="FF0000"/>
                <w:sz w:val="28"/>
                <w:szCs w:val="28"/>
              </w:rPr>
            </w:pPr>
            <w:r>
              <w:rPr>
                <w:rFonts w:hint="eastAsia" w:ascii="仿宋_GB2312" w:hAnsi="仿宋_GB2312" w:eastAsia="仿宋_GB2312" w:cs="仿宋_GB2312"/>
                <w:spacing w:val="-6"/>
                <w:sz w:val="28"/>
                <w:szCs w:val="28"/>
              </w:rPr>
              <w:t>35.严格落实《国务院办公厅政府信息与政务公开办公室关于政府信息公开年度报告有关事项的通知》（国办公开办函〔2019〕60号）文件要求，规范政府信息公开工作年度报告格式和内容，提高年报基础性数据的准确度，强化数据的分析提炼，多用图表形式向社会公开更多有价值的基础性数据，进一步提升政府信息公开工作年度报告质量。</w:t>
            </w:r>
          </w:p>
        </w:tc>
        <w:tc>
          <w:tcPr>
            <w:tcW w:w="4149" w:type="dxa"/>
            <w:tcBorders>
              <w:top w:val="single" w:color="auto" w:sz="4" w:space="0"/>
              <w:left w:val="single" w:color="auto" w:sz="4" w:space="0"/>
              <w:bottom w:val="single" w:color="auto" w:sz="4" w:space="0"/>
              <w:right w:val="single" w:color="auto" w:sz="4" w:space="0"/>
            </w:tcBorders>
            <w:vAlign w:val="center"/>
          </w:tcPr>
          <w:p>
            <w:pPr>
              <w:spacing w:before="121" w:line="400" w:lineRule="exact"/>
              <w:jc w:val="both"/>
              <w:rPr>
                <w:rFonts w:ascii="Microsoft JhengHei" w:hAnsi="Microsoft JhengHei" w:eastAsia="仿宋_GB2312" w:cs="Microsoft JhengHei"/>
                <w:spacing w:val="-14"/>
                <w:sz w:val="28"/>
                <w:szCs w:val="28"/>
              </w:rPr>
            </w:pPr>
            <w:r>
              <w:rPr>
                <w:rFonts w:hint="eastAsia" w:ascii="仿宋_GB2312" w:hAnsi="仿宋_GB2312" w:eastAsia="仿宋_GB2312" w:cs="仿宋_GB2312"/>
                <w:spacing w:val="-6"/>
                <w:sz w:val="28"/>
                <w:szCs w:val="28"/>
              </w:rPr>
              <w:t>党政综合办公室、经济发展办公室、财政所</w:t>
            </w:r>
          </w:p>
        </w:tc>
      </w:tr>
    </w:tbl>
    <w:p>
      <w:pPr>
        <w:spacing w:before="91" w:line="341" w:lineRule="auto"/>
        <w:ind w:right="168"/>
        <w:jc w:val="both"/>
        <w:rPr>
          <w:rFonts w:ascii="黑体" w:hAnsi="黑体" w:eastAsia="黑体" w:cs="黑体"/>
          <w:spacing w:val="-4"/>
          <w:sz w:val="28"/>
          <w:szCs w:val="28"/>
        </w:rPr>
        <w:sectPr>
          <w:headerReference r:id="rId9" w:type="default"/>
          <w:footerReference r:id="rId10" w:type="default"/>
          <w:pgSz w:w="16839" w:h="11906"/>
          <w:pgMar w:top="567" w:right="1134" w:bottom="868" w:left="1134" w:header="0" w:footer="704" w:gutter="0"/>
          <w:pgNumType w:fmt="numberInDash"/>
          <w:cols w:space="720" w:num="1"/>
        </w:sectPr>
      </w:pPr>
    </w:p>
    <w:tbl>
      <w:tblPr>
        <w:tblStyle w:val="5"/>
        <w:tblW w:w="14601"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1691"/>
        <w:gridCol w:w="8761"/>
        <w:gridCol w:w="4149"/>
      </w:tblGrid>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551" w:hRule="atLeast"/>
        </w:trPr>
        <w:tc>
          <w:tcPr>
            <w:tcW w:w="1691" w:type="dxa"/>
          </w:tcPr>
          <w:p>
            <w:pPr>
              <w:spacing w:before="129" w:line="180" w:lineRule="auto"/>
              <w:ind w:firstLine="287"/>
              <w:jc w:val="center"/>
              <w:rPr>
                <w:rFonts w:ascii="黑体" w:hAnsi="黑体" w:eastAsia="黑体" w:cs="黑体"/>
                <w:spacing w:val="-5"/>
                <w:sz w:val="28"/>
                <w:szCs w:val="28"/>
              </w:rPr>
            </w:pPr>
            <w:r>
              <w:rPr>
                <w:rFonts w:ascii="黑体" w:hAnsi="黑体" w:eastAsia="黑体" w:cs="黑体"/>
                <w:spacing w:val="-5"/>
                <w:sz w:val="28"/>
                <w:szCs w:val="28"/>
              </w:rPr>
              <w:t>工作任务</w:t>
            </w:r>
          </w:p>
        </w:tc>
        <w:tc>
          <w:tcPr>
            <w:tcW w:w="8761" w:type="dxa"/>
          </w:tcPr>
          <w:p>
            <w:pPr>
              <w:spacing w:before="129" w:line="180" w:lineRule="auto"/>
              <w:ind w:firstLine="287"/>
              <w:jc w:val="center"/>
              <w:rPr>
                <w:rFonts w:ascii="黑体" w:hAnsi="黑体" w:eastAsia="黑体" w:cs="黑体"/>
                <w:spacing w:val="-5"/>
                <w:sz w:val="28"/>
                <w:szCs w:val="28"/>
              </w:rPr>
            </w:pPr>
            <w:r>
              <w:rPr>
                <w:rFonts w:ascii="黑体" w:hAnsi="黑体" w:eastAsia="黑体" w:cs="黑体"/>
                <w:spacing w:val="-5"/>
                <w:sz w:val="28"/>
                <w:szCs w:val="28"/>
              </w:rPr>
              <w:t>具体要求</w:t>
            </w:r>
          </w:p>
        </w:tc>
        <w:tc>
          <w:tcPr>
            <w:tcW w:w="4149" w:type="dxa"/>
          </w:tcPr>
          <w:p>
            <w:pPr>
              <w:spacing w:before="129" w:line="180" w:lineRule="auto"/>
              <w:ind w:firstLine="287"/>
              <w:jc w:val="center"/>
              <w:rPr>
                <w:rFonts w:ascii="黑体" w:hAnsi="黑体" w:eastAsia="黑体" w:cs="黑体"/>
                <w:spacing w:val="-5"/>
                <w:sz w:val="28"/>
                <w:szCs w:val="28"/>
              </w:rPr>
            </w:pPr>
            <w:r>
              <w:rPr>
                <w:rFonts w:ascii="黑体" w:hAnsi="黑体" w:eastAsia="黑体" w:cs="黑体"/>
                <w:spacing w:val="-5"/>
                <w:sz w:val="28"/>
                <w:szCs w:val="28"/>
              </w:rPr>
              <w:t>责任单位</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884" w:hRule="atLeast"/>
        </w:trPr>
        <w:tc>
          <w:tcPr>
            <w:tcW w:w="1691" w:type="dxa"/>
            <w:vMerge w:val="restart"/>
            <w:tcBorders>
              <w:bottom w:val="nil"/>
            </w:tcBorders>
            <w:vAlign w:val="center"/>
          </w:tcPr>
          <w:p>
            <w:pPr>
              <w:spacing w:before="91" w:line="341" w:lineRule="auto"/>
              <w:ind w:right="168"/>
              <w:jc w:val="both"/>
              <w:rPr>
                <w:rFonts w:ascii="黑体" w:hAnsi="黑体" w:eastAsia="仿宋_GB2312" w:cs="黑体"/>
                <w:sz w:val="28"/>
                <w:szCs w:val="28"/>
              </w:rPr>
            </w:pPr>
            <w:r>
              <w:rPr>
                <w:rFonts w:hint="eastAsia" w:ascii="黑体" w:hAnsi="黑体" w:eastAsia="黑体" w:cs="黑体"/>
                <w:spacing w:val="-4"/>
                <w:sz w:val="28"/>
                <w:szCs w:val="28"/>
              </w:rPr>
              <w:t>十四、加强工作指导。</w:t>
            </w:r>
          </w:p>
        </w:tc>
        <w:tc>
          <w:tcPr>
            <w:tcW w:w="8761" w:type="dxa"/>
            <w:vAlign w:val="center"/>
          </w:tcPr>
          <w:p>
            <w:pPr>
              <w:spacing w:before="238" w:line="400" w:lineRule="exact"/>
              <w:ind w:right="89"/>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36.镇主要负责同志每年至少听取1次政务公开工作汇报，专题研究部署政务公开工作。</w:t>
            </w:r>
          </w:p>
        </w:tc>
        <w:tc>
          <w:tcPr>
            <w:tcW w:w="4149" w:type="dxa"/>
            <w:tcBorders>
              <w:bottom w:val="single" w:color="auto" w:sz="4" w:space="0"/>
            </w:tcBorders>
            <w:vAlign w:val="center"/>
          </w:tcPr>
          <w:p>
            <w:pPr>
              <w:spacing w:before="294" w:line="400" w:lineRule="exact"/>
              <w:jc w:val="both"/>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772" w:hRule="atLeast"/>
        </w:trPr>
        <w:tc>
          <w:tcPr>
            <w:tcW w:w="1691" w:type="dxa"/>
            <w:vMerge w:val="continue"/>
            <w:tcBorders>
              <w:top w:val="nil"/>
              <w:bottom w:val="nil"/>
            </w:tcBorders>
            <w:vAlign w:val="center"/>
          </w:tcPr>
          <w:p>
            <w:pPr>
              <w:jc w:val="both"/>
              <w:rPr>
                <w:rFonts w:eastAsia="仿宋_GB2312"/>
              </w:rPr>
            </w:pPr>
          </w:p>
        </w:tc>
        <w:tc>
          <w:tcPr>
            <w:tcW w:w="8761" w:type="dxa"/>
            <w:tcBorders>
              <w:right w:val="single" w:color="auto" w:sz="4" w:space="0"/>
            </w:tcBorders>
            <w:vAlign w:val="center"/>
          </w:tcPr>
          <w:p>
            <w:pPr>
              <w:spacing w:before="294" w:line="400" w:lineRule="exact"/>
              <w:jc w:val="both"/>
              <w:rPr>
                <w:rFonts w:ascii="Microsoft JhengHei" w:hAnsi="Microsoft JhengHei" w:eastAsia="仿宋_GB2312" w:cs="Microsoft JhengHei"/>
                <w:color w:val="auto"/>
                <w:sz w:val="28"/>
                <w:szCs w:val="28"/>
              </w:rPr>
            </w:pPr>
            <w:r>
              <w:rPr>
                <w:rFonts w:hint="eastAsia" w:ascii="仿宋_GB2312" w:hAnsi="仿宋_GB2312" w:eastAsia="仿宋_GB2312" w:cs="仿宋_GB2312"/>
                <w:spacing w:val="-6"/>
                <w:sz w:val="28"/>
                <w:szCs w:val="28"/>
              </w:rPr>
              <w:t>37.进一步明确政务公开工作主管部门职责，理顺工作机制，配齐配强工作力量，保障工作经费。</w:t>
            </w:r>
          </w:p>
        </w:tc>
        <w:tc>
          <w:tcPr>
            <w:tcW w:w="4149" w:type="dxa"/>
            <w:tcBorders>
              <w:top w:val="single" w:color="auto" w:sz="4" w:space="0"/>
              <w:left w:val="single" w:color="auto" w:sz="4" w:space="0"/>
              <w:bottom w:val="single" w:color="auto" w:sz="4" w:space="0"/>
              <w:right w:val="single" w:color="auto" w:sz="4" w:space="0"/>
            </w:tcBorders>
            <w:vAlign w:val="center"/>
          </w:tcPr>
          <w:p>
            <w:pPr>
              <w:spacing w:before="294" w:line="400" w:lineRule="exact"/>
              <w:jc w:val="both"/>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党政综合办公室、财政所</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281" w:hRule="atLeast"/>
        </w:trPr>
        <w:tc>
          <w:tcPr>
            <w:tcW w:w="1691" w:type="dxa"/>
            <w:vMerge w:val="continue"/>
            <w:tcBorders>
              <w:top w:val="nil"/>
              <w:bottom w:val="nil"/>
            </w:tcBorders>
            <w:vAlign w:val="center"/>
          </w:tcPr>
          <w:p>
            <w:pPr>
              <w:jc w:val="both"/>
              <w:rPr>
                <w:rFonts w:eastAsia="仿宋_GB2312"/>
              </w:rPr>
            </w:pPr>
          </w:p>
        </w:tc>
        <w:tc>
          <w:tcPr>
            <w:tcW w:w="8761" w:type="dxa"/>
            <w:tcBorders>
              <w:right w:val="single" w:color="auto" w:sz="4" w:space="0"/>
            </w:tcBorders>
            <w:vAlign w:val="center"/>
          </w:tcPr>
          <w:p>
            <w:pPr>
              <w:spacing w:before="184" w:line="400" w:lineRule="exact"/>
              <w:ind w:right="84"/>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38.加强队伍建设，定期组织开展政府信息公开工作培训和研讨交流，不断提升业务能力。加强基层政府政策解读、依申请公开工作业务培训和案例指导。</w:t>
            </w:r>
          </w:p>
        </w:tc>
        <w:tc>
          <w:tcPr>
            <w:tcW w:w="4149" w:type="dxa"/>
            <w:vMerge w:val="restart"/>
            <w:tcBorders>
              <w:top w:val="single" w:color="auto" w:sz="4" w:space="0"/>
              <w:left w:val="single" w:color="auto" w:sz="4" w:space="0"/>
              <w:bottom w:val="single" w:color="auto" w:sz="4" w:space="0"/>
              <w:right w:val="single" w:color="auto" w:sz="4" w:space="0"/>
            </w:tcBorders>
            <w:vAlign w:val="center"/>
          </w:tcPr>
          <w:p>
            <w:pPr>
              <w:spacing w:before="121" w:line="400" w:lineRule="exact"/>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91" w:hRule="atLeast"/>
        </w:trPr>
        <w:tc>
          <w:tcPr>
            <w:tcW w:w="1691" w:type="dxa"/>
            <w:vMerge w:val="continue"/>
            <w:tcBorders>
              <w:top w:val="nil"/>
            </w:tcBorders>
          </w:tcPr>
          <w:p>
            <w:pPr>
              <w:rPr>
                <w:rFonts w:eastAsia="仿宋_GB2312"/>
              </w:rPr>
            </w:pPr>
          </w:p>
        </w:tc>
        <w:tc>
          <w:tcPr>
            <w:tcW w:w="8761" w:type="dxa"/>
            <w:tcBorders>
              <w:right w:val="single" w:color="auto" w:sz="4" w:space="0"/>
            </w:tcBorders>
            <w:vAlign w:val="center"/>
          </w:tcPr>
          <w:p>
            <w:pPr>
              <w:spacing w:before="266" w:line="400" w:lineRule="exact"/>
              <w:ind w:right="91"/>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39.依法规范开展政府信息公开工作考核、评议，避免简单地以第三方评估代替应由政府自身开展的考核、评议。正确对待社会上各类政务公开第三方评估结果，原则上不以行政机关名义领取民间奖励，不选择性参加评估结果对本机关有利的发布会、论坛等相关活动。</w:t>
            </w:r>
          </w:p>
        </w:tc>
        <w:tc>
          <w:tcPr>
            <w:tcW w:w="4149"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153" w:hRule="atLeast"/>
        </w:trPr>
        <w:tc>
          <w:tcPr>
            <w:tcW w:w="1691" w:type="dxa"/>
            <w:vMerge w:val="restart"/>
            <w:tcBorders>
              <w:bottom w:val="nil"/>
            </w:tcBorders>
            <w:vAlign w:val="center"/>
          </w:tcPr>
          <w:p>
            <w:pPr>
              <w:spacing w:before="91" w:line="341" w:lineRule="auto"/>
              <w:ind w:right="168"/>
              <w:jc w:val="both"/>
              <w:rPr>
                <w:rFonts w:ascii="黑体" w:hAnsi="黑体" w:eastAsia="仿宋_GB2312" w:cs="黑体"/>
                <w:sz w:val="28"/>
                <w:szCs w:val="28"/>
              </w:rPr>
            </w:pPr>
            <w:r>
              <w:rPr>
                <w:rFonts w:hint="eastAsia" w:ascii="黑体" w:hAnsi="黑体" w:eastAsia="黑体" w:cs="黑体"/>
                <w:spacing w:val="-4"/>
                <w:sz w:val="28"/>
                <w:szCs w:val="28"/>
              </w:rPr>
              <w:t>十五、狠抓任务落实。</w:t>
            </w:r>
          </w:p>
        </w:tc>
        <w:tc>
          <w:tcPr>
            <w:tcW w:w="8761" w:type="dxa"/>
            <w:tcBorders>
              <w:right w:val="single" w:color="auto" w:sz="4" w:space="0"/>
            </w:tcBorders>
            <w:vAlign w:val="center"/>
          </w:tcPr>
          <w:p>
            <w:pPr>
              <w:spacing w:before="240" w:line="258" w:lineRule="auto"/>
              <w:ind w:right="183"/>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40.建立本镇202</w:t>
            </w:r>
            <w:r>
              <w:rPr>
                <w:rFonts w:hint="eastAsia" w:ascii="仿宋_GB2312" w:hAnsi="仿宋_GB2312" w:eastAsia="仿宋_GB2312" w:cs="仿宋_GB2312"/>
                <w:spacing w:val="-6"/>
                <w:sz w:val="28"/>
                <w:szCs w:val="28"/>
                <w:lang w:val="en-US" w:eastAsia="zh-CN"/>
              </w:rPr>
              <w:t>2</w:t>
            </w:r>
            <w:r>
              <w:rPr>
                <w:rFonts w:hint="eastAsia" w:ascii="仿宋_GB2312" w:hAnsi="仿宋_GB2312" w:eastAsia="仿宋_GB2312" w:cs="仿宋_GB2312"/>
                <w:spacing w:val="-6"/>
                <w:sz w:val="28"/>
                <w:szCs w:val="28"/>
              </w:rPr>
              <w:t>年政务公开工作重点任务台账，明确具体分工、实时跟进推动，确保落实到位。</w:t>
            </w:r>
          </w:p>
        </w:tc>
        <w:tc>
          <w:tcPr>
            <w:tcW w:w="4149" w:type="dxa"/>
            <w:vMerge w:val="restart"/>
            <w:tcBorders>
              <w:top w:val="single" w:color="auto" w:sz="4" w:space="0"/>
              <w:left w:val="single" w:color="auto" w:sz="4" w:space="0"/>
              <w:bottom w:val="single" w:color="auto" w:sz="4" w:space="0"/>
              <w:right w:val="single" w:color="auto" w:sz="4" w:space="0"/>
            </w:tcBorders>
            <w:vAlign w:val="center"/>
          </w:tcPr>
          <w:p>
            <w:pPr>
              <w:spacing w:before="121" w:line="400" w:lineRule="exact"/>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党政综合办公室</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83" w:hRule="atLeast"/>
        </w:trPr>
        <w:tc>
          <w:tcPr>
            <w:tcW w:w="1691" w:type="dxa"/>
            <w:vMerge w:val="continue"/>
            <w:tcBorders>
              <w:top w:val="nil"/>
              <w:bottom w:val="nil"/>
            </w:tcBorders>
          </w:tcPr>
          <w:p>
            <w:pPr>
              <w:rPr>
                <w:rFonts w:eastAsia="仿宋_GB2312"/>
              </w:rPr>
            </w:pPr>
          </w:p>
        </w:tc>
        <w:tc>
          <w:tcPr>
            <w:tcW w:w="8761" w:type="dxa"/>
            <w:tcBorders>
              <w:right w:val="single" w:color="auto" w:sz="4" w:space="0"/>
            </w:tcBorders>
            <w:vAlign w:val="center"/>
          </w:tcPr>
          <w:p>
            <w:pPr>
              <w:spacing w:before="197" w:line="224" w:lineRule="auto"/>
              <w:ind w:right="87"/>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41.对上一年度工作要点落实情况开展“回头看”，重点针对有明确责任主体和时限要求的工作任务，逐项核查落实情况，对未完成的依法督促整改。</w:t>
            </w:r>
          </w:p>
        </w:tc>
        <w:tc>
          <w:tcPr>
            <w:tcW w:w="4149"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168" w:hRule="atLeast"/>
        </w:trPr>
        <w:tc>
          <w:tcPr>
            <w:tcW w:w="1691" w:type="dxa"/>
            <w:vMerge w:val="continue"/>
            <w:tcBorders>
              <w:top w:val="nil"/>
            </w:tcBorders>
          </w:tcPr>
          <w:p>
            <w:pPr>
              <w:rPr>
                <w:rFonts w:eastAsia="仿宋_GB2312"/>
              </w:rPr>
            </w:pPr>
          </w:p>
        </w:tc>
        <w:tc>
          <w:tcPr>
            <w:tcW w:w="8761" w:type="dxa"/>
            <w:tcBorders>
              <w:right w:val="single" w:color="auto" w:sz="4" w:space="0"/>
            </w:tcBorders>
            <w:vAlign w:val="center"/>
          </w:tcPr>
          <w:p>
            <w:pPr>
              <w:spacing w:before="216" w:line="257" w:lineRule="auto"/>
              <w:ind w:right="87"/>
              <w:jc w:val="both"/>
              <w:rPr>
                <w:rFonts w:ascii="Microsoft JhengHei" w:hAnsi="Microsoft JhengHei" w:eastAsia="仿宋_GB2312" w:cs="Microsoft JhengHei"/>
                <w:sz w:val="28"/>
                <w:szCs w:val="28"/>
              </w:rPr>
            </w:pPr>
            <w:r>
              <w:rPr>
                <w:rFonts w:hint="eastAsia" w:ascii="仿宋_GB2312" w:hAnsi="仿宋_GB2312" w:eastAsia="仿宋_GB2312" w:cs="仿宋_GB2312"/>
                <w:spacing w:val="-6"/>
                <w:sz w:val="28"/>
                <w:szCs w:val="28"/>
              </w:rPr>
              <w:t>42.将本要点落实情况纳入政府信息公开工作年度报告予以公开，接受社会监督。</w:t>
            </w:r>
          </w:p>
        </w:tc>
        <w:tc>
          <w:tcPr>
            <w:tcW w:w="4149"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r>
    </w:tbl>
    <w:p/>
    <w:sectPr>
      <w:pgSz w:w="16839" w:h="11906"/>
      <w:pgMar w:top="867" w:right="1134" w:bottom="868" w:left="1134" w:header="0" w:footer="704"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path/>
          <v:fill on="f" focussize="0,0"/>
          <v:stroke on="f" weight="0.5pt" joinstyle="miter"/>
          <v:imagedata o:title=""/>
          <o:lock v:ext="edit"/>
          <v:textbox inset="0mm,0mm,0mm,0mm" style="mso-fit-shape-to-text:t;">
            <w:txbxContent>
              <w:p>
                <w:pPr>
                  <w:pStyle w:val="2"/>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9" o:spid="_x0000_s1029"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2"/>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- 3 -</w:t>
                </w:r>
                <w:r>
                  <w:rPr>
                    <w:rFonts w:hint="eastAsia" w:ascii="宋体" w:hAnsi="宋体" w:eastAsia="宋体" w:cs="宋体"/>
                    <w:sz w:val="28"/>
                    <w:szCs w:val="28"/>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8" o:spid="_x0000_s1028"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path/>
          <v:fill on="f" focussize="0,0"/>
          <v:stroke on="f" weight="0.5pt" joinstyle="miter"/>
          <v:imagedata o:title=""/>
          <o:lock v:ext="edit"/>
          <v:textbox inset="0mm,0mm,0mm,0mm" style="mso-fit-shape-to-text:t;">
            <w:txbxContent>
              <w:p>
                <w:pPr>
                  <w:pStyle w:val="2"/>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7" o:spid="_x0000_s1027"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path/>
          <v:fill on="f" focussize="0,0"/>
          <v:stroke on="f" weight="0.5pt" joinstyle="miter"/>
          <v:imagedata o:title=""/>
          <o:lock v:ext="edit"/>
          <v:textbox inset="0mm,0mm,0mm,0mm" style="mso-fit-shape-to-text:t;">
            <w:txbxContent>
              <w:p>
                <w:pPr>
                  <w:pStyle w:val="2"/>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- 7 -</w:t>
                </w:r>
                <w:r>
                  <w:rPr>
                    <w:rFonts w:hint="eastAsia" w:ascii="宋体" w:hAnsi="宋体" w:eastAsia="宋体" w:cs="宋体"/>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defaultTabStop w:val="420"/>
  <w:noPunctuationKerning w:val="1"/>
  <w:characterSpacingControl w:val="doNotCompress"/>
  <w:hdrShapeDefaults>
    <o:shapelayout v:ext="edit">
      <o:idmap v:ext="edit" data="1"/>
    </o:shapelayout>
  </w:hdrShapeDefaults>
  <w:compat>
    <w:spaceForUL/>
    <w:ulTrailSpace/>
    <w:doNotExpandShiftReturn/>
    <w:doNotWrapTextWithPunct/>
    <w:doNotUseEastAsianBreakRules/>
    <w:useFELayout/>
    <w:doNotUseIndentAsNumberingTabStop/>
    <w:compatSetting w:name="compatibilityMode" w:uri="http://schemas.microsoft.com/office/word" w:val="12"/>
  </w:compat>
  <w:docVars>
    <w:docVar w:name="commondata" w:val="eyJoZGlkIjoiOWNiOWZiZmI0OWE5OTYxZmZkOGJlNTE0Y2E3ZDRlNmUifQ=="/>
  </w:docVars>
  <w:rsids>
    <w:rsidRoot w:val="00E04E57"/>
    <w:rsid w:val="004369E5"/>
    <w:rsid w:val="00635FE0"/>
    <w:rsid w:val="00E04E57"/>
    <w:rsid w:val="02D82F6B"/>
    <w:rsid w:val="04F61C56"/>
    <w:rsid w:val="05DE1D42"/>
    <w:rsid w:val="065E4C03"/>
    <w:rsid w:val="0AD843EC"/>
    <w:rsid w:val="0C6F69A1"/>
    <w:rsid w:val="0FC61E77"/>
    <w:rsid w:val="141F3E2C"/>
    <w:rsid w:val="18913039"/>
    <w:rsid w:val="1B794694"/>
    <w:rsid w:val="1D0F44FF"/>
    <w:rsid w:val="20A203DB"/>
    <w:rsid w:val="228A4A30"/>
    <w:rsid w:val="229356D1"/>
    <w:rsid w:val="22A747B4"/>
    <w:rsid w:val="247753E3"/>
    <w:rsid w:val="25910ECF"/>
    <w:rsid w:val="290D5495"/>
    <w:rsid w:val="29F41363"/>
    <w:rsid w:val="33D36392"/>
    <w:rsid w:val="34FE15B0"/>
    <w:rsid w:val="35D423BB"/>
    <w:rsid w:val="3DE76330"/>
    <w:rsid w:val="414D3B0C"/>
    <w:rsid w:val="43C128EE"/>
    <w:rsid w:val="4AD53D17"/>
    <w:rsid w:val="4B414807"/>
    <w:rsid w:val="4EBD0670"/>
    <w:rsid w:val="50725ECE"/>
    <w:rsid w:val="52A65A33"/>
    <w:rsid w:val="54615144"/>
    <w:rsid w:val="561C5CE0"/>
    <w:rsid w:val="566B5CA1"/>
    <w:rsid w:val="5AD02072"/>
    <w:rsid w:val="5C39505B"/>
    <w:rsid w:val="5C9A2E90"/>
    <w:rsid w:val="5CBB0E03"/>
    <w:rsid w:val="5F61040D"/>
    <w:rsid w:val="69371613"/>
    <w:rsid w:val="6F1135F6"/>
    <w:rsid w:val="706A69D0"/>
    <w:rsid w:val="72071B16"/>
    <w:rsid w:val="742B1118"/>
    <w:rsid w:val="747043AB"/>
    <w:rsid w:val="758A438C"/>
    <w:rsid w:val="7A8562CA"/>
    <w:rsid w:val="7DC150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pPr>
    <w:rPr>
      <w:sz w:val="18"/>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2911</Words>
  <Characters>3010</Characters>
  <Lines>22</Lines>
  <Paragraphs>6</Paragraphs>
  <TotalTime>1</TotalTime>
  <ScaleCrop>false</ScaleCrop>
  <LinksUpToDate>false</LinksUpToDate>
  <CharactersWithSpaces>3014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2021-09-28T12:05:00Z</dcterms:created>
  <dc:creator>user</dc:creator>
  <cp:lastModifiedBy>梁锦豪</cp:lastModifiedBy>
  <dcterms:modified xsi:type="dcterms:W3CDTF">2023-01-06T02:21:46Z</dcterms:modified>
  <dc:title>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2021-10-17T16:02:08Z</vt:filetime>
  </property>
  <property fmtid="{D5CDD505-2E9C-101B-9397-08002B2CF9AE}" pid="4" name="KSOProductBuildVer">
    <vt:lpwstr>2052-11.1.0.12980</vt:lpwstr>
  </property>
  <property fmtid="{D5CDD505-2E9C-101B-9397-08002B2CF9AE}" pid="5" name="ICV">
    <vt:lpwstr>DC6748883E2B4AF586042CADE513A5E4</vt:lpwstr>
  </property>
</Properties>
</file>